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F5002" w14:textId="1BA4421F" w:rsidR="00D70C8B" w:rsidRPr="000C2083" w:rsidRDefault="00D70C8B" w:rsidP="000C2083">
      <w:pPr>
        <w:pStyle w:val="Heading3"/>
        <w:spacing w:line="276" w:lineRule="auto"/>
        <w:jc w:val="both"/>
        <w:rPr>
          <w:rFonts w:ascii="Times New Roman" w:eastAsiaTheme="minorEastAsia" w:hAnsi="Times New Roman"/>
          <w:b/>
          <w:noProof/>
          <w:lang w:eastAsia="en-GB"/>
        </w:rPr>
      </w:pPr>
      <w:bookmarkStart w:id="0" w:name="_Toc53639563"/>
      <w:bookmarkStart w:id="1" w:name="_Toc55512685"/>
      <w:bookmarkStart w:id="2" w:name="_Toc56363809"/>
      <w:r w:rsidRPr="000C2083">
        <w:rPr>
          <w:rFonts w:ascii="Times New Roman" w:eastAsiaTheme="minorEastAsia" w:hAnsi="Times New Roman"/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78969BF" wp14:editId="5259969F">
            <wp:simplePos x="0" y="0"/>
            <wp:positionH relativeFrom="margin">
              <wp:posOffset>12357</wp:posOffset>
            </wp:positionH>
            <wp:positionV relativeFrom="paragraph">
              <wp:posOffset>-679622</wp:posOffset>
            </wp:positionV>
            <wp:extent cx="5943600" cy="1161536"/>
            <wp:effectExtent l="0" t="0" r="0" b="635"/>
            <wp:wrapNone/>
            <wp:docPr id="113787161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87375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r="2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19" cy="116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A9B4B" w14:textId="77777777" w:rsidR="00D70C8B" w:rsidRPr="000C2083" w:rsidRDefault="00D70C8B" w:rsidP="000C2083">
      <w:pPr>
        <w:pStyle w:val="Heading3"/>
        <w:spacing w:line="276" w:lineRule="auto"/>
        <w:jc w:val="both"/>
        <w:rPr>
          <w:rFonts w:ascii="Times New Roman" w:eastAsiaTheme="minorEastAsia" w:hAnsi="Times New Roman"/>
          <w:b/>
          <w:noProof/>
          <w:lang w:eastAsia="en-GB"/>
        </w:rPr>
      </w:pPr>
    </w:p>
    <w:p w14:paraId="455699CC" w14:textId="77777777" w:rsidR="005820CA" w:rsidRPr="000C2083" w:rsidRDefault="005820CA" w:rsidP="000C2083">
      <w:pPr>
        <w:spacing w:line="276" w:lineRule="auto"/>
        <w:rPr>
          <w:rFonts w:ascii="Times New Roman" w:hAnsi="Times New Roman"/>
          <w:sz w:val="24"/>
          <w:szCs w:val="24"/>
          <w:lang w:eastAsia="en-GB"/>
        </w:rPr>
      </w:pPr>
    </w:p>
    <w:p w14:paraId="7308993B" w14:textId="295BE079" w:rsidR="005820CA" w:rsidRPr="000C2083" w:rsidRDefault="005925B9" w:rsidP="000C208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C2083">
        <w:rPr>
          <w:rFonts w:ascii="Times New Roman" w:hAnsi="Times New Roman"/>
          <w:b/>
          <w:bCs/>
          <w:sz w:val="24"/>
          <w:szCs w:val="24"/>
          <w:lang w:eastAsia="en-GB"/>
        </w:rPr>
        <w:t>RAPORTI VJETOR I KONSULTIMIT PUBLIK PER VITIN 2024</w:t>
      </w:r>
    </w:p>
    <w:p w14:paraId="3FD12EB7" w14:textId="77777777" w:rsidR="00885670" w:rsidRPr="000C2083" w:rsidRDefault="00885670" w:rsidP="000C208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29ACC2" w14:textId="77777777" w:rsidR="005820CA" w:rsidRPr="000C2083" w:rsidRDefault="005820CA" w:rsidP="000C2083">
      <w:pPr>
        <w:spacing w:line="276" w:lineRule="auto"/>
        <w:rPr>
          <w:rFonts w:ascii="Times New Roman" w:hAnsi="Times New Roman"/>
          <w:sz w:val="24"/>
          <w:szCs w:val="24"/>
          <w:lang w:eastAsia="en-GB"/>
        </w:rPr>
      </w:pPr>
    </w:p>
    <w:p w14:paraId="0D48BF85" w14:textId="6CE1514C" w:rsidR="00C85797" w:rsidRPr="000C2083" w:rsidRDefault="00C85797" w:rsidP="000C2083">
      <w:pPr>
        <w:pStyle w:val="Heading3"/>
        <w:spacing w:line="276" w:lineRule="auto"/>
        <w:jc w:val="both"/>
        <w:rPr>
          <w:rFonts w:ascii="Times New Roman" w:hAnsi="Times New Roman"/>
          <w:lang w:val="sq-AL"/>
        </w:rPr>
      </w:pPr>
      <w:r w:rsidRPr="000C2083">
        <w:rPr>
          <w:rFonts w:ascii="Times New Roman" w:hAnsi="Times New Roman"/>
          <w:lang w:val="sq-AL"/>
        </w:rPr>
        <w:t xml:space="preserve">Shtojca 5a: </w:t>
      </w:r>
      <w:bookmarkEnd w:id="0"/>
      <w:r w:rsidRPr="000C2083">
        <w:rPr>
          <w:rFonts w:ascii="Times New Roman" w:hAnsi="Times New Roman"/>
          <w:lang w:val="sq-AL"/>
        </w:rPr>
        <w:t>Struktura e pjesës narrative të raportit (</w:t>
      </w:r>
      <w:r w:rsidRPr="000C2083">
        <w:rPr>
          <w:rFonts w:ascii="Times New Roman" w:hAnsi="Times New Roman"/>
          <w:lang w:val="sq-AL" w:eastAsia="sl-SI"/>
        </w:rPr>
        <w:t>gjashtë-mujor</w:t>
      </w:r>
      <w:r w:rsidRPr="000C2083">
        <w:rPr>
          <w:rFonts w:ascii="Times New Roman" w:hAnsi="Times New Roman"/>
          <w:lang w:val="sq-AL"/>
        </w:rPr>
        <w:t>) vjetor për konsultimet e kryera publike të</w:t>
      </w:r>
      <w:bookmarkEnd w:id="1"/>
      <w:r w:rsidRPr="000C2083">
        <w:rPr>
          <w:rFonts w:ascii="Times New Roman" w:hAnsi="Times New Roman"/>
          <w:lang w:val="sq-AL"/>
        </w:rPr>
        <w:t>ministrive dhe institucioneve qendrore, në varësi të Kryeministrit.</w:t>
      </w:r>
      <w:bookmarkEnd w:id="2"/>
    </w:p>
    <w:p w14:paraId="3AE805D7" w14:textId="77777777" w:rsidR="00C85797" w:rsidRPr="000C2083" w:rsidRDefault="00C85797" w:rsidP="000C208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sz w:val="24"/>
          <w:szCs w:val="24"/>
          <w:u w:val="single"/>
          <w:lang w:val="sq-AL" w:eastAsia="sl-SI"/>
        </w:rPr>
        <w:t xml:space="preserve">Përmbledhja ekzekutive 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(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pasqyra e statistikave kryesore mbi konsultimet e kryera me mësimet e nxjerra, sfidat dhe mundësitë)</w:t>
      </w:r>
    </w:p>
    <w:p w14:paraId="66DDAD3C" w14:textId="65308250" w:rsidR="005A5547" w:rsidRPr="00282935" w:rsidRDefault="005A5547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82935">
        <w:rPr>
          <w:rFonts w:ascii="Times New Roman" w:hAnsi="Times New Roman"/>
          <w:sz w:val="24"/>
          <w:szCs w:val="24"/>
          <w:lang w:val="sq-AL"/>
        </w:rPr>
        <w:t>Gjatë periudhës Janar – Dhjetor 2024, Ministria e Shëndetësisë dhe Mbrojtjes Sociale (këtu e në vijim, MSHMS) ka përmbushur në masën 100% detyrimin për konsultim publik të akteve të miratuara, objekt i Ligjit Nr. 146/2014 për “Njoftimin dhe Konsultimin Publik”. Për vitin 2024, janë konsultuar nëpërmjet publikimit në Regjistrin Elektronik të Njoftimit dhe Konsultimit Publik (këtu e në vijim RENjKP) dhe/ose aktiviteteve të tjera konsultative, aktet e miratuara, si më poshtë:</w:t>
      </w:r>
    </w:p>
    <w:p w14:paraId="11041148" w14:textId="77777777" w:rsidR="005A5547" w:rsidRPr="00282935" w:rsidRDefault="005A5547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8E03B4" w14:textId="29D31F29" w:rsidR="005A5547" w:rsidRPr="00282935" w:rsidRDefault="005A5547" w:rsidP="000C2083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82935">
        <w:rPr>
          <w:rFonts w:ascii="Times New Roman" w:hAnsi="Times New Roman"/>
          <w:sz w:val="24"/>
          <w:szCs w:val="24"/>
          <w:lang w:val="sq-AL"/>
        </w:rPr>
        <w:t>Projektvendimi “P</w:t>
      </w:r>
      <w:r w:rsidR="000C2083" w:rsidRPr="00282935">
        <w:rPr>
          <w:rFonts w:ascii="Times New Roman" w:hAnsi="Times New Roman"/>
          <w:sz w:val="24"/>
          <w:szCs w:val="24"/>
          <w:lang w:val="sq-AL"/>
        </w:rPr>
        <w:t>ë</w:t>
      </w:r>
      <w:r w:rsidRPr="00282935">
        <w:rPr>
          <w:rFonts w:ascii="Times New Roman" w:hAnsi="Times New Roman"/>
          <w:sz w:val="24"/>
          <w:szCs w:val="24"/>
          <w:lang w:val="sq-AL"/>
        </w:rPr>
        <w:t>r miratimin e Strategjisë Kombëtare të Mbrojtjes Sociale 2024 – 2030 dhe të Planit  të Veprimit në zbatim të saj”;</w:t>
      </w:r>
    </w:p>
    <w:p w14:paraId="7822A310" w14:textId="77777777" w:rsidR="005A5547" w:rsidRPr="00282935" w:rsidRDefault="005A5547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30E85C" w14:textId="34BBA092" w:rsidR="005A5547" w:rsidRPr="00282935" w:rsidRDefault="005A5547" w:rsidP="000C2083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82935">
        <w:rPr>
          <w:rFonts w:ascii="Times New Roman" w:hAnsi="Times New Roman"/>
          <w:sz w:val="24"/>
          <w:szCs w:val="24"/>
          <w:lang w:val="sq-AL"/>
        </w:rPr>
        <w:t>Projektvendimi “Për miratimin e dokumentit të politikave të përfshirjes sociale, 2024-2028”;</w:t>
      </w:r>
    </w:p>
    <w:p w14:paraId="7BBF172A" w14:textId="77777777" w:rsidR="005A5547" w:rsidRPr="00282935" w:rsidRDefault="005A5547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4179EF1" w14:textId="4AE96DD5" w:rsidR="005A5547" w:rsidRPr="00282935" w:rsidRDefault="005A5547" w:rsidP="000C2083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82935">
        <w:rPr>
          <w:rFonts w:ascii="Times New Roman" w:hAnsi="Times New Roman"/>
          <w:sz w:val="24"/>
          <w:szCs w:val="24"/>
          <w:lang w:val="sq-AL"/>
        </w:rPr>
        <w:t>Projektligji “Për disa shtesa dhe ndryshime në ligjin nr.95/2015, “Për shërbimet dhe produktet biocide në shëndetin publik”, të ndryshuar”.</w:t>
      </w:r>
    </w:p>
    <w:p w14:paraId="1A02E8A1" w14:textId="0744889C" w:rsidR="008144CE" w:rsidRPr="00282935" w:rsidRDefault="00452B53" w:rsidP="008144CE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82935">
        <w:rPr>
          <w:rFonts w:ascii="Times New Roman" w:hAnsi="Times New Roman"/>
          <w:sz w:val="24"/>
          <w:szCs w:val="24"/>
          <w:lang w:val="sq-AL"/>
        </w:rPr>
        <w:t>Vlerësohet se procesi, në raport me periudhën e kaluar (vitin 2023), paraqet një trend të kënaqshëm duke patur një numër të madh aktorësh të përfshirë, sidomos nga organizatat joqeveritare.</w:t>
      </w:r>
      <w:r w:rsidR="008144CE" w:rsidRPr="0028293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E3BA720" w14:textId="30266C13" w:rsidR="008144CE" w:rsidRPr="000443B8" w:rsidRDefault="008144CE" w:rsidP="008144CE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443B8">
        <w:rPr>
          <w:rFonts w:ascii="Times New Roman" w:hAnsi="Times New Roman"/>
          <w:sz w:val="24"/>
          <w:szCs w:val="24"/>
          <w:lang w:val="sq-AL"/>
        </w:rPr>
        <w:t>Takimet konsultative jan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 xml:space="preserve"> zhvilluar n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>p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>rmjet platformave t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 xml:space="preserve"> ndryshme nd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>r to RENJKP aplikacionet online dhe tryezat e p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>rbashk</w:t>
      </w:r>
      <w:r w:rsidR="001E531E" w:rsidRPr="000443B8">
        <w:rPr>
          <w:rFonts w:ascii="Times New Roman" w:hAnsi="Times New Roman"/>
          <w:sz w:val="24"/>
          <w:szCs w:val="24"/>
          <w:lang w:val="sq-AL"/>
        </w:rPr>
        <w:t>ë</w:t>
      </w:r>
      <w:r w:rsidRPr="000443B8">
        <w:rPr>
          <w:rFonts w:ascii="Times New Roman" w:hAnsi="Times New Roman"/>
          <w:sz w:val="24"/>
          <w:szCs w:val="24"/>
          <w:lang w:val="sq-AL"/>
        </w:rPr>
        <w:t>ta</w:t>
      </w:r>
      <w:r w:rsidR="00EB2EFD" w:rsidRPr="000443B8">
        <w:rPr>
          <w:rFonts w:ascii="Times New Roman" w:hAnsi="Times New Roman"/>
          <w:sz w:val="24"/>
          <w:szCs w:val="24"/>
          <w:lang w:val="sq-AL"/>
        </w:rPr>
        <w:t xml:space="preserve"> me pjesemarrje fizike te aktoreve</w:t>
      </w:r>
      <w:r w:rsidRPr="000443B8">
        <w:rPr>
          <w:rFonts w:ascii="Times New Roman" w:hAnsi="Times New Roman"/>
          <w:sz w:val="24"/>
          <w:szCs w:val="24"/>
          <w:lang w:val="sq-AL"/>
        </w:rPr>
        <w:t>.</w:t>
      </w:r>
    </w:p>
    <w:p w14:paraId="47BDC001" w14:textId="77777777" w:rsidR="008144CE" w:rsidRPr="000443B8" w:rsidRDefault="008144CE" w:rsidP="008144CE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AB37FD" w14:textId="6DF94335" w:rsidR="008144CE" w:rsidRPr="000443B8" w:rsidRDefault="008144CE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443B8">
        <w:rPr>
          <w:rFonts w:ascii="Times New Roman" w:hAnsi="Times New Roman"/>
          <w:sz w:val="24"/>
          <w:szCs w:val="24"/>
          <w:lang w:val="sq-AL"/>
        </w:rPr>
        <w:t>Në këtë kontekst, indeksi i frekuencës së organizimit të takimeve publike (IPM) është 100 % pasi të gjithë aktet e konsultuara i janë nënshtruar takimeve publike. (IPM = 4/4*100 = 100%). Në takime kanë marrë pjesë aktorë joqeveritarë të profileve të ndryshme</w:t>
      </w:r>
      <w:r w:rsidRPr="000443B8">
        <w:rPr>
          <w:lang w:val="sq-AL"/>
        </w:rPr>
        <w:t>.</w:t>
      </w:r>
    </w:p>
    <w:p w14:paraId="5A9D6B26" w14:textId="77777777" w:rsidR="005A5547" w:rsidRPr="000C2083" w:rsidRDefault="005A5547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0EA069C4" w14:textId="77777777" w:rsidR="00D347D2" w:rsidRPr="000C2083" w:rsidRDefault="00D347D2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0E0283D6" w14:textId="5DBAE8FA" w:rsidR="00D347D2" w:rsidRPr="007C0219" w:rsidRDefault="00D347D2" w:rsidP="00AD28E7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 w:eastAsia="sl-SI"/>
        </w:rPr>
      </w:pPr>
      <w:r w:rsidRPr="007C0219">
        <w:rPr>
          <w:rFonts w:ascii="Times New Roman" w:hAnsi="Times New Roman"/>
          <w:b/>
          <w:iCs/>
          <w:sz w:val="24"/>
          <w:szCs w:val="24"/>
          <w:lang w:val="sq-AL" w:eastAsia="sl-SI"/>
        </w:rPr>
        <w:t>Analiza e konsultimeve të kryera</w:t>
      </w:r>
    </w:p>
    <w:p w14:paraId="517689AB" w14:textId="77777777" w:rsidR="00D347D2" w:rsidRPr="000C2083" w:rsidRDefault="00D347D2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2.1.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ab/>
      </w:r>
      <w:r w:rsidRPr="000C2083">
        <w:rPr>
          <w:rFonts w:ascii="Times New Roman" w:hAnsi="Times New Roman"/>
          <w:b/>
          <w:i/>
          <w:iCs/>
          <w:sz w:val="24"/>
          <w:szCs w:val="24"/>
          <w:lang w:val="sq-AL" w:eastAsia="sl-SI"/>
        </w:rPr>
        <w:t xml:space="preserve"> Numri i përgjithshëm i akteve për të cilat janë kryer konsultimet publike</w:t>
      </w:r>
    </w:p>
    <w:p w14:paraId="620FAA3B" w14:textId="77777777" w:rsidR="00D347D2" w:rsidRPr="000C2083" w:rsidRDefault="00D347D2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  <w:lang w:val="sq-AL" w:eastAsia="sl-SI"/>
        </w:rPr>
      </w:pPr>
    </w:p>
    <w:p w14:paraId="3B06344F" w14:textId="4B8C57C3" w:rsidR="00D347D2" w:rsidRPr="000C2083" w:rsidRDefault="00D347D2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2.1.1.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ab/>
        <w:t>Cili ishte numri i përgjithshëm i akteve të miratuara në një vit të caktuar?</w:t>
      </w:r>
    </w:p>
    <w:p w14:paraId="781185B3" w14:textId="77777777" w:rsidR="00D347D2" w:rsidRPr="000C2083" w:rsidRDefault="00D347D2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65F14E7A" w14:textId="25DF9832" w:rsidR="00C85797" w:rsidRPr="000C2083" w:rsidRDefault="001A3761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Ministria e Sh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s</w:t>
      </w:r>
      <w:r w:rsidR="00F11704" w:rsidRPr="000C2083">
        <w:rPr>
          <w:rFonts w:ascii="Times New Roman" w:hAnsi="Times New Roman"/>
          <w:iCs/>
          <w:sz w:val="24"/>
          <w:szCs w:val="24"/>
          <w:lang w:val="sq-AL" w:eastAsia="sl-SI"/>
        </w:rPr>
        <w:t>is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F11704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dhe Mbrojtjes Sociale ka miratuar gjithsej per vitin 2024</w:t>
      </w:r>
      <w:r w:rsidR="003B15D5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</w:t>
      </w:r>
      <w:r w:rsidR="001E531E" w:rsidRPr="00211699">
        <w:rPr>
          <w:rFonts w:ascii="Times New Roman" w:hAnsi="Times New Roman"/>
          <w:iCs/>
          <w:sz w:val="24"/>
          <w:szCs w:val="24"/>
          <w:lang w:val="sq-AL" w:eastAsia="sl-SI"/>
        </w:rPr>
        <w:t>jan</w:t>
      </w:r>
      <w:r w:rsidR="00B84B35" w:rsidRPr="00211699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F11704" w:rsidRPr="00211699">
        <w:rPr>
          <w:rFonts w:ascii="Times New Roman" w:hAnsi="Times New Roman"/>
          <w:iCs/>
          <w:sz w:val="24"/>
          <w:szCs w:val="24"/>
          <w:lang w:val="sq-AL" w:eastAsia="sl-SI"/>
        </w:rPr>
        <w:t xml:space="preserve"> </w:t>
      </w:r>
      <w:r w:rsidR="003B15D5" w:rsidRPr="00211699">
        <w:rPr>
          <w:rFonts w:ascii="Times New Roman" w:hAnsi="Times New Roman"/>
          <w:iCs/>
          <w:sz w:val="24"/>
          <w:szCs w:val="24"/>
          <w:lang w:val="sq-AL" w:eastAsia="sl-SI"/>
        </w:rPr>
        <w:t>2</w:t>
      </w:r>
      <w:r w:rsidR="001E531E" w:rsidRPr="00211699">
        <w:rPr>
          <w:rFonts w:ascii="Times New Roman" w:hAnsi="Times New Roman"/>
          <w:iCs/>
          <w:sz w:val="24"/>
          <w:szCs w:val="24"/>
          <w:lang w:val="sq-AL" w:eastAsia="sl-SI"/>
        </w:rPr>
        <w:t>8</w:t>
      </w:r>
      <w:r w:rsidR="003B15D5" w:rsidRPr="00211699">
        <w:rPr>
          <w:rFonts w:ascii="Times New Roman" w:hAnsi="Times New Roman"/>
          <w:iCs/>
          <w:sz w:val="24"/>
          <w:szCs w:val="24"/>
          <w:lang w:val="sq-AL" w:eastAsia="sl-SI"/>
        </w:rPr>
        <w:t xml:space="preserve"> </w:t>
      </w:r>
      <w:r w:rsidR="005A12C0" w:rsidRPr="00211699">
        <w:rPr>
          <w:rFonts w:ascii="Times New Roman" w:hAnsi="Times New Roman"/>
          <w:iCs/>
          <w:sz w:val="24"/>
          <w:szCs w:val="24"/>
          <w:lang w:val="sq-AL" w:eastAsia="sl-SI"/>
        </w:rPr>
        <w:t>akte</w:t>
      </w:r>
      <w:r w:rsidR="00211699" w:rsidRPr="00211699">
        <w:rPr>
          <w:rFonts w:ascii="Times New Roman" w:hAnsi="Times New Roman"/>
          <w:i/>
          <w:iCs/>
          <w:sz w:val="24"/>
          <w:szCs w:val="24"/>
          <w:lang w:val="sq-AL" w:eastAsia="sl-SI"/>
        </w:rPr>
        <w:t>.</w:t>
      </w:r>
    </w:p>
    <w:p w14:paraId="5AE3491F" w14:textId="77777777" w:rsidR="00F37F8B" w:rsidRPr="000C2083" w:rsidRDefault="00F37F8B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7B8DB554" w14:textId="0B099AFA" w:rsidR="00137234" w:rsidRPr="000C2083" w:rsidRDefault="00C85797" w:rsidP="000C2083">
      <w:pPr>
        <w:pStyle w:val="ListParagraph"/>
        <w:numPr>
          <w:ilvl w:val="2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akte janë konsultuar dhe sa jo?</w:t>
      </w:r>
      <w:r w:rsidR="00FB61C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060E2C81" w14:textId="452A76C2" w:rsidR="00F37F8B" w:rsidRDefault="00D40D07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Ministria e Sh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sis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dhe Mbrojtjes Sociale ka</w:t>
      </w:r>
      <w:r w:rsidR="00FB61CC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konsultuar 3 akte</w:t>
      </w:r>
      <w:r w:rsidR="005A12C0" w:rsidRPr="000C2083">
        <w:rPr>
          <w:rFonts w:ascii="Times New Roman" w:hAnsi="Times New Roman"/>
          <w:iCs/>
          <w:sz w:val="24"/>
          <w:szCs w:val="24"/>
          <w:lang w:val="sq-AL" w:eastAsia="sl-SI"/>
        </w:rPr>
        <w:t>.</w:t>
      </w:r>
      <w:r w:rsidR="00F37F8B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="00F37F8B" w:rsidRPr="000C2083">
        <w:rPr>
          <w:rFonts w:ascii="Times New Roman" w:hAnsi="Times New Roman"/>
          <w:sz w:val="24"/>
          <w:szCs w:val="24"/>
          <w:lang w:val="sq-AL" w:eastAsia="sl-SI"/>
        </w:rPr>
        <w:t xml:space="preserve">Ndërsa </w:t>
      </w:r>
      <w:r w:rsidR="00A57CE4" w:rsidRPr="000C2083">
        <w:rPr>
          <w:rFonts w:ascii="Times New Roman" w:hAnsi="Times New Roman"/>
          <w:sz w:val="24"/>
          <w:szCs w:val="24"/>
          <w:lang w:val="sq-AL" w:eastAsia="sl-SI"/>
        </w:rPr>
        <w:t>2</w:t>
      </w:r>
      <w:r w:rsidR="001E531E">
        <w:rPr>
          <w:rFonts w:ascii="Times New Roman" w:hAnsi="Times New Roman"/>
          <w:sz w:val="24"/>
          <w:szCs w:val="24"/>
          <w:lang w:val="sq-AL" w:eastAsia="sl-SI"/>
        </w:rPr>
        <w:t>5</w:t>
      </w:r>
      <w:r w:rsidR="00F37F8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aktet e tjera të miratuara, nuk kanë qenë objekt i konsultimit publik, në përputhje me parashikimet e nenit 4, të ligjit nr. 146/2014 “Për njoftimin dhe konsultimin publik”.</w:t>
      </w:r>
    </w:p>
    <w:p w14:paraId="33022969" w14:textId="77777777" w:rsidR="001E531E" w:rsidRPr="000C2083" w:rsidRDefault="001E531E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227B14C5" w14:textId="77777777" w:rsidR="0054410E" w:rsidRPr="008144CE" w:rsidRDefault="0054410E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6F47EA04" w14:textId="0B725337" w:rsidR="00F37F8B" w:rsidRPr="00083A62" w:rsidRDefault="00C85797" w:rsidP="00AD28E7">
      <w:pPr>
        <w:pStyle w:val="ListParagraph"/>
        <w:numPr>
          <w:ilvl w:val="2"/>
          <w:numId w:val="21"/>
        </w:numPr>
        <w:shd w:val="clear" w:color="auto" w:fill="FFFFFF"/>
        <w:spacing w:line="276" w:lineRule="auto"/>
        <w:ind w:hanging="1170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ligje me raporte VNR-je janë konsultuar?</w:t>
      </w:r>
    </w:p>
    <w:p w14:paraId="34568B4C" w14:textId="4EE4AF4E" w:rsidR="00D57822" w:rsidRDefault="00B457D7" w:rsidP="00D57822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Ë</w:t>
      </w:r>
      <w:r w:rsidR="00EB2EFD">
        <w:rPr>
          <w:rFonts w:ascii="Times New Roman" w:hAnsi="Times New Roman"/>
          <w:sz w:val="24"/>
          <w:szCs w:val="24"/>
          <w:lang w:val="da-DK"/>
        </w:rPr>
        <w:t>sht</w:t>
      </w:r>
      <w:r>
        <w:rPr>
          <w:rFonts w:ascii="Times New Roman" w:hAnsi="Times New Roman"/>
          <w:sz w:val="24"/>
          <w:szCs w:val="24"/>
          <w:lang w:val="da-DK"/>
        </w:rPr>
        <w:t>ë</w:t>
      </w:r>
      <w:r w:rsidR="00EB2EFD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D57822" w:rsidRPr="00083A62">
        <w:rPr>
          <w:rFonts w:ascii="Times New Roman" w:hAnsi="Times New Roman"/>
          <w:sz w:val="24"/>
          <w:szCs w:val="24"/>
          <w:lang w:val="da-DK"/>
        </w:rPr>
        <w:t xml:space="preserve">konsultuar </w:t>
      </w:r>
      <w:r w:rsidR="00EB2EFD">
        <w:rPr>
          <w:rFonts w:ascii="Times New Roman" w:hAnsi="Times New Roman"/>
          <w:sz w:val="24"/>
          <w:szCs w:val="24"/>
          <w:lang w:val="da-DK"/>
        </w:rPr>
        <w:t>1</w:t>
      </w:r>
      <w:r w:rsidR="00D57822" w:rsidRPr="00083A62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EB2EFD">
        <w:rPr>
          <w:rFonts w:ascii="Times New Roman" w:hAnsi="Times New Roman"/>
          <w:sz w:val="24"/>
          <w:szCs w:val="24"/>
          <w:lang w:val="da-DK"/>
        </w:rPr>
        <w:t>ligj</w:t>
      </w:r>
      <w:r w:rsidR="00D57822" w:rsidRPr="00083A62">
        <w:rPr>
          <w:rFonts w:ascii="Times New Roman" w:hAnsi="Times New Roman"/>
          <w:sz w:val="24"/>
          <w:szCs w:val="24"/>
          <w:lang w:val="da-DK"/>
        </w:rPr>
        <w:t xml:space="preserve">, </w:t>
      </w:r>
      <w:r w:rsidR="00083A62">
        <w:rPr>
          <w:rFonts w:ascii="Times New Roman" w:hAnsi="Times New Roman"/>
          <w:sz w:val="24"/>
          <w:szCs w:val="24"/>
          <w:lang w:val="da-DK"/>
        </w:rPr>
        <w:t>t</w:t>
      </w:r>
      <w:r w:rsidR="00B84B35">
        <w:rPr>
          <w:rFonts w:ascii="Times New Roman" w:hAnsi="Times New Roman"/>
          <w:sz w:val="24"/>
          <w:szCs w:val="24"/>
          <w:lang w:val="da-DK"/>
        </w:rPr>
        <w:t>ë</w:t>
      </w:r>
      <w:r w:rsidR="00D57822" w:rsidRPr="00083A62">
        <w:rPr>
          <w:rFonts w:ascii="Times New Roman" w:hAnsi="Times New Roman"/>
          <w:sz w:val="24"/>
          <w:szCs w:val="24"/>
          <w:lang w:val="da-DK"/>
        </w:rPr>
        <w:t xml:space="preserve"> shoqëruar me VNR: </w:t>
      </w:r>
    </w:p>
    <w:p w14:paraId="26E0C4A8" w14:textId="77777777" w:rsidR="00083A62" w:rsidRPr="00083A62" w:rsidRDefault="00083A62" w:rsidP="00083A62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17E53268" w14:textId="7DF15817" w:rsidR="00083A62" w:rsidRPr="00560706" w:rsidRDefault="00083A62" w:rsidP="00083A62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60706">
        <w:rPr>
          <w:rFonts w:ascii="Times New Roman" w:hAnsi="Times New Roman"/>
          <w:sz w:val="24"/>
          <w:szCs w:val="24"/>
          <w:lang w:val="sq-AL"/>
        </w:rPr>
        <w:t>Projektligji “Për disa shtesa dhe ndryshime në ligjin nr.95/2015, “Për shërbimet dhe produktet biocide në shëndetin publik”, të ndryshuar”</w:t>
      </w:r>
      <w:r w:rsidR="00EB2EFD" w:rsidRPr="00560706">
        <w:rPr>
          <w:rFonts w:ascii="Times New Roman" w:hAnsi="Times New Roman"/>
          <w:sz w:val="24"/>
          <w:szCs w:val="24"/>
          <w:lang w:val="sq-AL"/>
        </w:rPr>
        <w:t xml:space="preserve"> i cili ka edhe RIA</w:t>
      </w:r>
      <w:r w:rsidRPr="00560706">
        <w:rPr>
          <w:rFonts w:ascii="Times New Roman" w:hAnsi="Times New Roman"/>
          <w:sz w:val="24"/>
          <w:szCs w:val="24"/>
          <w:lang w:val="sq-AL"/>
        </w:rPr>
        <w:t>.</w:t>
      </w:r>
    </w:p>
    <w:p w14:paraId="1CA8FBC6" w14:textId="2BB27D56" w:rsidR="00560706" w:rsidRPr="00560706" w:rsidRDefault="00560706" w:rsidP="00560706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60706">
        <w:rPr>
          <w:rFonts w:ascii="Times New Roman" w:hAnsi="Times New Roman"/>
          <w:sz w:val="24"/>
          <w:szCs w:val="24"/>
          <w:lang w:val="sq-AL"/>
        </w:rPr>
        <w:t>2</w:t>
      </w:r>
      <w:r w:rsidR="00385D39">
        <w:rPr>
          <w:rFonts w:ascii="Times New Roman" w:hAnsi="Times New Roman"/>
          <w:sz w:val="24"/>
          <w:szCs w:val="24"/>
          <w:lang w:val="sq-AL"/>
        </w:rPr>
        <w:t>(dy)</w:t>
      </w:r>
      <w:r w:rsidRPr="00560706">
        <w:rPr>
          <w:rFonts w:ascii="Times New Roman" w:hAnsi="Times New Roman"/>
          <w:sz w:val="24"/>
          <w:szCs w:val="24"/>
          <w:lang w:val="sq-AL"/>
        </w:rPr>
        <w:t xml:space="preserve"> prej akteve të miratuara gjatë kësaj periudhe nuk janë objekt i procesit të vlerësimit të</w:t>
      </w:r>
    </w:p>
    <w:p w14:paraId="19CF93BA" w14:textId="77777777" w:rsidR="00560706" w:rsidRPr="00560706" w:rsidRDefault="00560706" w:rsidP="00560706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60706">
        <w:rPr>
          <w:rFonts w:ascii="Times New Roman" w:hAnsi="Times New Roman"/>
          <w:sz w:val="24"/>
          <w:szCs w:val="24"/>
          <w:lang w:val="sq-AL"/>
        </w:rPr>
        <w:t>ndikimit, sipas përcaktimeve të pikës 45/1, shkronja a) në Kreun VI të VKM nr. 584, datë</w:t>
      </w:r>
    </w:p>
    <w:p w14:paraId="330D82C5" w14:textId="25A6CF7A" w:rsidR="00560706" w:rsidRPr="009B7B31" w:rsidRDefault="00560706" w:rsidP="00560706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60706">
        <w:rPr>
          <w:rFonts w:ascii="Times New Roman" w:hAnsi="Times New Roman"/>
          <w:sz w:val="24"/>
          <w:szCs w:val="24"/>
          <w:lang w:val="sq-AL"/>
        </w:rPr>
        <w:t>28.8.2003 “Për miratimin e rregullores së Këshillit të Ministrave”, të ndryshuar.</w:t>
      </w:r>
    </w:p>
    <w:p w14:paraId="061E0761" w14:textId="096256CF" w:rsidR="00560706" w:rsidRPr="00560706" w:rsidRDefault="00560706" w:rsidP="00560706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18D99C25" w14:textId="77777777" w:rsidR="00F37F8B" w:rsidRPr="00083A62" w:rsidRDefault="00F37F8B" w:rsidP="000C2083">
      <w:pPr>
        <w:pStyle w:val="ListParagraph"/>
        <w:shd w:val="clear" w:color="auto" w:fill="FFFFFF"/>
        <w:spacing w:line="276" w:lineRule="auto"/>
        <w:ind w:left="1077" w:firstLine="0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5E8CAC79" w14:textId="77777777" w:rsidR="00C85797" w:rsidRPr="000C2083" w:rsidRDefault="00C85797" w:rsidP="000C2083">
      <w:pPr>
        <w:pStyle w:val="ListParagraph"/>
        <w:numPr>
          <w:ilvl w:val="2"/>
          <w:numId w:val="21"/>
        </w:numPr>
        <w:shd w:val="clear" w:color="auto" w:fill="FFFFFF"/>
        <w:spacing w:line="276" w:lineRule="auto"/>
        <w:ind w:left="1077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Për sa akte në a) Programin Analitik, b) PKIE, c) dokumente strategjike të sektorit, janë përdorur kriteret/përjashtimet nga konsultimet publike? Cilat janë arsyet kryesore për të mos u konsultuar (nëse ka të tilla)?</w:t>
      </w:r>
    </w:p>
    <w:p w14:paraId="54A36140" w14:textId="3A21E7F7" w:rsidR="00F37F8B" w:rsidRPr="000C2083" w:rsidRDefault="00F37F8B" w:rsidP="000C2083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8144CE">
        <w:rPr>
          <w:rFonts w:ascii="Times New Roman" w:hAnsi="Times New Roman"/>
          <w:iCs/>
          <w:sz w:val="24"/>
          <w:szCs w:val="24"/>
          <w:lang w:val="sq-AL" w:eastAsia="sl-SI"/>
        </w:rPr>
        <w:t>Programi i Përgjithshëm Analitik i Projektakteve për vitin 2024</w:t>
      </w:r>
      <w:r w:rsidR="00645708" w:rsidRPr="008144CE">
        <w:rPr>
          <w:rFonts w:ascii="Times New Roman" w:hAnsi="Times New Roman"/>
          <w:iCs/>
          <w:sz w:val="24"/>
          <w:szCs w:val="24"/>
          <w:lang w:val="sq-AL" w:eastAsia="sl-SI"/>
        </w:rPr>
        <w:t xml:space="preserve"> për MSHMS parashikon 16</w:t>
      </w:r>
      <w:r w:rsidRPr="008144CE">
        <w:rPr>
          <w:rFonts w:ascii="Times New Roman" w:hAnsi="Times New Roman"/>
          <w:iCs/>
          <w:sz w:val="24"/>
          <w:szCs w:val="24"/>
          <w:lang w:val="sq-AL" w:eastAsia="sl-SI"/>
        </w:rPr>
        <w:t xml:space="preserve"> akte. Për sa i tako</w:t>
      </w:r>
      <w:r w:rsidR="00645708" w:rsidRPr="008144CE">
        <w:rPr>
          <w:rFonts w:ascii="Times New Roman" w:hAnsi="Times New Roman"/>
          <w:iCs/>
          <w:sz w:val="24"/>
          <w:szCs w:val="24"/>
          <w:lang w:val="sq-AL" w:eastAsia="sl-SI"/>
        </w:rPr>
        <w:t>n periudhës Janar – Dhjetor 2024</w:t>
      </w:r>
      <w:r w:rsidRPr="008144CE">
        <w:rPr>
          <w:rFonts w:ascii="Times New Roman" w:hAnsi="Times New Roman"/>
          <w:iCs/>
          <w:sz w:val="24"/>
          <w:szCs w:val="24"/>
          <w:lang w:val="sq-AL" w:eastAsia="sl-SI"/>
        </w:rPr>
        <w:t>, janë përdorur kriteret përjashtue</w:t>
      </w:r>
      <w:r w:rsidR="007465D5" w:rsidRPr="008144CE">
        <w:rPr>
          <w:rFonts w:ascii="Times New Roman" w:hAnsi="Times New Roman"/>
          <w:iCs/>
          <w:sz w:val="24"/>
          <w:szCs w:val="24"/>
          <w:lang w:val="sq-AL" w:eastAsia="sl-SI"/>
        </w:rPr>
        <w:t>se për konsultimin publik për 13</w:t>
      </w:r>
      <w:r w:rsidRPr="008144CE">
        <w:rPr>
          <w:rFonts w:ascii="Times New Roman" w:hAnsi="Times New Roman"/>
          <w:iCs/>
          <w:sz w:val="24"/>
          <w:szCs w:val="24"/>
          <w:lang w:val="sq-AL" w:eastAsia="sl-SI"/>
        </w:rPr>
        <w:t xml:space="preserve"> akte të PPAP. Arsyeja kryesore e moskonsultimit të tyre është të qënit akte administrative normative të përgjithshme, të cilat nuk janë projekte strategjike apo projektligje. </w:t>
      </w:r>
    </w:p>
    <w:p w14:paraId="6C97ED58" w14:textId="77777777" w:rsidR="00F37F8B" w:rsidRPr="000C2083" w:rsidRDefault="00F37F8B" w:rsidP="000C2083">
      <w:pPr>
        <w:shd w:val="clear" w:color="auto" w:fill="FFFFFF"/>
        <w:spacing w:line="276" w:lineRule="auto"/>
        <w:ind w:left="720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3D8F6082" w14:textId="21ED25C1" w:rsidR="00C26963" w:rsidRPr="000C2083" w:rsidRDefault="00C26963" w:rsidP="000C2083">
      <w:pPr>
        <w:shd w:val="clear" w:color="auto" w:fill="FFFFFF"/>
        <w:spacing w:line="276" w:lineRule="auto"/>
        <w:ind w:left="720"/>
        <w:rPr>
          <w:rFonts w:ascii="Times New Roman" w:eastAsia="Times New Roman" w:hAnsi="Times New Roman"/>
          <w:spacing w:val="-2"/>
          <w:sz w:val="24"/>
          <w:szCs w:val="24"/>
          <w:lang w:val="sq-AL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Projektakti </w:t>
      </w:r>
      <w:r w:rsidR="00033988" w:rsidRPr="000C2083">
        <w:rPr>
          <w:rFonts w:ascii="Times New Roman" w:hAnsi="Times New Roman"/>
          <w:iCs/>
          <w:sz w:val="24"/>
          <w:szCs w:val="24"/>
          <w:lang w:val="sq-AL" w:eastAsia="sl-SI"/>
        </w:rPr>
        <w:t>normativ</w:t>
      </w:r>
      <w:r w:rsidR="00033988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 </w:t>
      </w:r>
      <w:r w:rsidR="00033988" w:rsidRPr="000C2083">
        <w:rPr>
          <w:rFonts w:ascii="Times New Roman" w:eastAsia="Times New Roman" w:hAnsi="Times New Roman"/>
          <w:spacing w:val="-2"/>
          <w:sz w:val="24"/>
          <w:szCs w:val="24"/>
          <w:lang w:val="sq-AL"/>
        </w:rPr>
        <w:t>nr. 2, datë 1.8.2024 “Për disa ndryshime dhe shtesa në Ligjin nr. 123/2014, “Për urdhrin e mjekëve në Republikën e Shqipërisë”</w:t>
      </w:r>
      <w:r w:rsidR="000C3660" w:rsidRPr="000C2083">
        <w:rPr>
          <w:rFonts w:ascii="Times New Roman" w:eastAsia="Times New Roman" w:hAnsi="Times New Roman"/>
          <w:spacing w:val="-2"/>
          <w:sz w:val="24"/>
          <w:szCs w:val="24"/>
          <w:lang w:val="sq-AL"/>
        </w:rPr>
        <w:t>.</w:t>
      </w:r>
    </w:p>
    <w:p w14:paraId="73A5F67C" w14:textId="77777777" w:rsidR="003F0852" w:rsidRPr="000C2083" w:rsidRDefault="003F0852" w:rsidP="000C2083">
      <w:pPr>
        <w:shd w:val="clear" w:color="auto" w:fill="FFFFFF"/>
        <w:spacing w:line="276" w:lineRule="auto"/>
        <w:ind w:left="720"/>
        <w:rPr>
          <w:rFonts w:ascii="Times New Roman" w:eastAsia="Times New Roman" w:hAnsi="Times New Roman"/>
          <w:spacing w:val="-2"/>
          <w:sz w:val="24"/>
          <w:szCs w:val="24"/>
          <w:lang w:val="sq-AL"/>
        </w:rPr>
      </w:pPr>
    </w:p>
    <w:p w14:paraId="5DD7F86D" w14:textId="40EDE53D" w:rsidR="003F0852" w:rsidRPr="000C2083" w:rsidRDefault="00C26963" w:rsidP="000C2083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Akti 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sht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propozuar 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kushtet e nevoj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 dhe urgjenc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s prandaj 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sht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ndjekur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rjashtimi nga konsultimi publik pas hartimit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draftit. Theksojm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se miratimi i k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tij akti normativ ka dal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si pasoj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e nj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>r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takimesh dhe diskutimesh lidhur me nevoj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n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r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garantuar 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>mbulimin me mjek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 xml:space="preserve"> 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strukturat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>sore publike dhe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>r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 xml:space="preserve"> rregulluar raportin e pun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>simit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 xml:space="preserve"> tyre midis 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>strukturave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 xml:space="preserve">sore </w:t>
      </w:r>
      <w:r w:rsidR="00715718" w:rsidRPr="000C2083">
        <w:rPr>
          <w:rFonts w:ascii="Times New Roman" w:hAnsi="Times New Roman"/>
          <w:sz w:val="24"/>
          <w:szCs w:val="24"/>
          <w:lang w:val="sq-AL" w:eastAsia="sl-SI"/>
        </w:rPr>
        <w:t>publik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>e dhe strukturave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033988" w:rsidRPr="000C2083">
        <w:rPr>
          <w:rFonts w:ascii="Times New Roman" w:hAnsi="Times New Roman"/>
          <w:sz w:val="24"/>
          <w:szCs w:val="24"/>
          <w:lang w:val="sq-AL" w:eastAsia="sl-SI"/>
        </w:rPr>
        <w:t>sore jopublike</w:t>
      </w:r>
      <w:r w:rsidR="003F0852" w:rsidRPr="000C2083">
        <w:rPr>
          <w:rFonts w:ascii="Times New Roman" w:hAnsi="Times New Roman"/>
          <w:sz w:val="24"/>
          <w:szCs w:val="24"/>
          <w:lang w:val="sq-AL" w:eastAsia="sl-SI"/>
        </w:rPr>
        <w:t>.</w:t>
      </w:r>
    </w:p>
    <w:p w14:paraId="4939D1AC" w14:textId="72CC5A91" w:rsidR="00C26963" w:rsidRPr="000C2083" w:rsidRDefault="00C26963" w:rsidP="000C2083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646D67BC" w14:textId="77777777" w:rsidR="004C3CE6" w:rsidRPr="000C2083" w:rsidRDefault="00C85797" w:rsidP="000C2083">
      <w:pPr>
        <w:pStyle w:val="ListParagraph"/>
        <w:numPr>
          <w:ilvl w:val="2"/>
          <w:numId w:val="21"/>
        </w:numPr>
        <w:shd w:val="clear" w:color="auto" w:fill="FFFFFF"/>
        <w:spacing w:line="276" w:lineRule="auto"/>
        <w:ind w:left="1077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Cila ishte struktura e akteve të konsultuara (sa projektligje, VKM, udhëzime, etj.)?</w:t>
      </w:r>
    </w:p>
    <w:p w14:paraId="1FC10160" w14:textId="41CCB2B1" w:rsidR="004C63D3" w:rsidRPr="000C2083" w:rsidRDefault="004C3CE6" w:rsidP="000C2083">
      <w:pPr>
        <w:pStyle w:val="ListParagraph"/>
        <w:shd w:val="clear" w:color="auto" w:fill="FFFFFF"/>
        <w:spacing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lastRenderedPageBreak/>
        <w:t xml:space="preserve">Aktet e miratuara, objekt të konsultimit publik, gjatë vitit 2024, janë </w:t>
      </w:r>
      <w:r w:rsidR="007465D5" w:rsidRPr="000C2083">
        <w:rPr>
          <w:rFonts w:ascii="Times New Roman" w:hAnsi="Times New Roman"/>
          <w:sz w:val="24"/>
          <w:szCs w:val="24"/>
          <w:lang w:val="sq-AL" w:eastAsia="sl-SI"/>
        </w:rPr>
        <w:t>1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projektligj</w:t>
      </w:r>
      <w:r w:rsidR="007465D5" w:rsidRPr="000C2083">
        <w:rPr>
          <w:rFonts w:ascii="Times New Roman" w:hAnsi="Times New Roman"/>
          <w:sz w:val="24"/>
          <w:szCs w:val="24"/>
          <w:lang w:val="sq-AL" w:eastAsia="sl-SI"/>
        </w:rPr>
        <w:t xml:space="preserve"> dhe 2 projektvendime.</w:t>
      </w:r>
    </w:p>
    <w:p w14:paraId="64F00079" w14:textId="77777777" w:rsidR="0097137C" w:rsidRPr="00B84B35" w:rsidRDefault="0097137C" w:rsidP="00B84B35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664F096E" w14:textId="77777777" w:rsidR="0097137C" w:rsidRPr="000C2083" w:rsidRDefault="00C85797" w:rsidP="000C2083">
      <w:pPr>
        <w:pStyle w:val="ListParagraph"/>
        <w:numPr>
          <w:ilvl w:val="2"/>
          <w:numId w:val="21"/>
        </w:numPr>
        <w:shd w:val="clear" w:color="auto" w:fill="FFFFFF"/>
        <w:spacing w:after="0" w:line="276" w:lineRule="auto"/>
        <w:ind w:left="1077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A është përmirësuar situata në krahasim me vitin e kaluar (cilësoni)?</w:t>
      </w:r>
    </w:p>
    <w:p w14:paraId="39012426" w14:textId="77777777" w:rsidR="0097137C" w:rsidRPr="000C2083" w:rsidRDefault="0097137C" w:rsidP="000C2083">
      <w:pPr>
        <w:shd w:val="clear" w:color="auto" w:fill="FFFFFF"/>
        <w:spacing w:line="276" w:lineRule="auto"/>
        <w:ind w:left="717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1E6956D9" w14:textId="40D4CF5D" w:rsidR="001E531E" w:rsidRPr="001E531E" w:rsidRDefault="00D40D07" w:rsidP="001E531E">
      <w:pPr>
        <w:shd w:val="clear" w:color="auto" w:fill="FFFFFF"/>
        <w:spacing w:line="276" w:lineRule="auto"/>
        <w:ind w:left="717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="00083A62">
        <w:rPr>
          <w:rFonts w:ascii="Times New Roman" w:hAnsi="Times New Roman"/>
          <w:i/>
          <w:iCs/>
          <w:sz w:val="24"/>
          <w:szCs w:val="24"/>
          <w:lang w:val="sq-AL" w:eastAsia="sl-SI"/>
        </w:rPr>
        <w:t>Situ</w:t>
      </w:r>
      <w:r w:rsidR="00B84B35">
        <w:rPr>
          <w:rFonts w:ascii="Times New Roman" w:hAnsi="Times New Roman"/>
          <w:i/>
          <w:iCs/>
          <w:sz w:val="24"/>
          <w:szCs w:val="24"/>
          <w:lang w:val="sq-AL" w:eastAsia="sl-SI"/>
        </w:rPr>
        <w:t>a</w:t>
      </w:r>
      <w:r w:rsidR="00083A62">
        <w:rPr>
          <w:rFonts w:ascii="Times New Roman" w:hAnsi="Times New Roman"/>
          <w:i/>
          <w:iCs/>
          <w:sz w:val="24"/>
          <w:szCs w:val="24"/>
          <w:lang w:val="sq-AL" w:eastAsia="sl-SI"/>
        </w:rPr>
        <w:t>t</w:t>
      </w:r>
      <w:r w:rsidR="00B84B35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="00083A62">
        <w:rPr>
          <w:rFonts w:ascii="Times New Roman" w:hAnsi="Times New Roman"/>
          <w:i/>
          <w:iCs/>
          <w:sz w:val="24"/>
          <w:szCs w:val="24"/>
          <w:lang w:val="sq-AL" w:eastAsia="sl-SI"/>
        </w:rPr>
        <w:t>t</w:t>
      </w:r>
      <w:r w:rsidR="00B84B35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="00083A62">
        <w:rPr>
          <w:rFonts w:ascii="Times New Roman" w:hAnsi="Times New Roman"/>
          <w:i/>
          <w:iCs/>
          <w:sz w:val="24"/>
          <w:szCs w:val="24"/>
          <w:lang w:val="sq-AL" w:eastAsia="sl-SI"/>
        </w:rPr>
        <w:t>n duke e krahasuar me vitin e kaluar e cil</w:t>
      </w:r>
      <w:r w:rsidR="00B84B35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="00083A62">
        <w:rPr>
          <w:rFonts w:ascii="Times New Roman" w:hAnsi="Times New Roman"/>
          <w:i/>
          <w:iCs/>
          <w:sz w:val="24"/>
          <w:szCs w:val="24"/>
          <w:lang w:val="sq-AL" w:eastAsia="sl-SI"/>
        </w:rPr>
        <w:t>sojm</w:t>
      </w:r>
      <w:r w:rsidR="00B84B35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="00083A62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t</w:t>
      </w:r>
      <w:r w:rsidR="00191DC2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p</w:t>
      </w:r>
      <w:r w:rsidR="00191DC2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rmir</w:t>
      </w:r>
      <w:r w:rsidR="00191DC2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="00B277E8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suar.</w:t>
      </w:r>
      <w:r w:rsidR="0097137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62996FCF" w14:textId="03E5B1E7" w:rsidR="00C85797" w:rsidRPr="009E7CBA" w:rsidRDefault="00C85797" w:rsidP="009E7CBA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195529FA" w14:textId="77777777" w:rsidR="001E531E" w:rsidRPr="00D57822" w:rsidRDefault="001E531E" w:rsidP="001E531E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 xml:space="preserve">Totali i akteve të miratuara për vitin 2023 është 23 dhe nga ato janë konsultuar 5 akte (21.7 %), të cilat janë objekt konsultimi sipas Ligjit Nr. 146/ 2014 “Për njoftimin dhe Konsultimin Publik”. </w:t>
      </w:r>
    </w:p>
    <w:p w14:paraId="4B366B2F" w14:textId="77777777" w:rsidR="001E531E" w:rsidRPr="00D57822" w:rsidRDefault="001E531E" w:rsidP="001E531E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31B4593" w14:textId="24341D8F" w:rsidR="00D57822" w:rsidRPr="00D57822" w:rsidRDefault="001E531E" w:rsidP="00D57822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>Totali i akteve të miratuara për vitin 2024  është 28 dhe nga këto janë konsultuar 3 akte</w:t>
      </w:r>
      <w:r w:rsidR="00D57822" w:rsidRPr="00D5782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083A62">
        <w:rPr>
          <w:rFonts w:ascii="Times New Roman" w:hAnsi="Times New Roman"/>
          <w:sz w:val="24"/>
          <w:szCs w:val="24"/>
          <w:lang w:val="sq-AL"/>
        </w:rPr>
        <w:t xml:space="preserve">(27%), </w:t>
      </w:r>
      <w:r w:rsidR="00D57822" w:rsidRPr="00D57822">
        <w:rPr>
          <w:rFonts w:ascii="Times New Roman" w:hAnsi="Times New Roman"/>
          <w:sz w:val="24"/>
          <w:szCs w:val="24"/>
          <w:lang w:val="sq-AL"/>
        </w:rPr>
        <w:t xml:space="preserve">të cilat janë objekt konsultimi sipas Ligjit Nr. 146/ 2014 “Për njoftimin dhe Konsultimin Publik”. </w:t>
      </w:r>
    </w:p>
    <w:p w14:paraId="671195B5" w14:textId="5848FFA7" w:rsidR="001E531E" w:rsidRPr="00D57822" w:rsidRDefault="001E531E" w:rsidP="001E531E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C73739C" w14:textId="77777777" w:rsidR="001E531E" w:rsidRPr="00D57822" w:rsidRDefault="001E531E" w:rsidP="001E531E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 xml:space="preserve">Sillet në vëmendje se për aktet e tjera të lartpërmendura aplikohen dhe kriteret përjashtuese sipas Nenit 4, të Ligjit Nr. 146/ 2014 “Për njoftimin dhe Konsultimin Publik”. </w:t>
      </w:r>
    </w:p>
    <w:p w14:paraId="1B31E525" w14:textId="77777777" w:rsidR="001E531E" w:rsidRPr="00D57822" w:rsidRDefault="001E531E" w:rsidP="001E531E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 xml:space="preserve">Situata mbetet njëlloj si vitin e kaluar, duke mbajtur të njëjtin trend pozitiv për përfshirjen e aktorëve. </w:t>
      </w:r>
    </w:p>
    <w:p w14:paraId="0FED4853" w14:textId="0FF0C8A7" w:rsidR="001E531E" w:rsidRPr="00D57822" w:rsidRDefault="001E531E" w:rsidP="001E531E">
      <w:pPr>
        <w:pStyle w:val="ListParagraph"/>
        <w:shd w:val="clear" w:color="auto" w:fill="FFFFFF"/>
        <w:spacing w:after="0" w:line="276" w:lineRule="auto"/>
        <w:ind w:left="1077" w:firstLine="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>Në konsultimin e këtyre akteve janë përfshirë një numër i gjerë aktorësh, në disa platforma si RENjK, email, Zoom dhe sugjerimet e tyre janë reflektuar si në raportin individual të konsultimit ashtu edhe në relacionin e dërguar në Këshillin e Ministrave duke pasqyruar nëse janë pranuar ose dhe pse. Hapat e procesit janë respektuar rigorozisht: Projektligjet janë publikuar në sistemin e informacionit të qeverisë (RENjKP), është dhënë informacion i mjaftueshëm lidhur me konsultimin e gjerë me grupet e interesit dhe janë ruajtur prova të mjaftueshme për reagimet e tyre nëpërmjet raporteve individuale, në draftin e ri pasqyrohet një shkallë e mirë e reflektimit të reagimit të palëve të interesuara</w:t>
      </w:r>
      <w:r w:rsidR="00B84B35">
        <w:rPr>
          <w:rFonts w:ascii="Times New Roman" w:hAnsi="Times New Roman"/>
          <w:sz w:val="24"/>
          <w:szCs w:val="24"/>
          <w:lang w:val="sq-AL"/>
        </w:rPr>
        <w:t>.</w:t>
      </w:r>
    </w:p>
    <w:p w14:paraId="7512E45A" w14:textId="77777777" w:rsidR="00083A62" w:rsidRPr="001E531E" w:rsidRDefault="00083A62" w:rsidP="001E531E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3758BA48" w14:textId="515A589F" w:rsidR="00F96CCE" w:rsidRPr="000C2083" w:rsidRDefault="00F96CCE" w:rsidP="000C2083">
      <w:pPr>
        <w:pStyle w:val="ListParagraph"/>
        <w:numPr>
          <w:ilvl w:val="1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i/>
          <w:iCs/>
          <w:sz w:val="24"/>
          <w:szCs w:val="24"/>
          <w:lang w:val="sq-AL" w:eastAsia="sl-SI"/>
        </w:rPr>
        <w:t>Metodat e konsultimit</w:t>
      </w:r>
    </w:p>
    <w:p w14:paraId="61EF3CAA" w14:textId="5975CF54" w:rsidR="00F96CCE" w:rsidRPr="000C2083" w:rsidRDefault="00F96CCE" w:rsidP="000C2083">
      <w:pPr>
        <w:pStyle w:val="ListParagraph"/>
        <w:numPr>
          <w:ilvl w:val="2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Cilat ishin metodat më të përdorura të konsultimit? (Jepni numrin e konsultimeve të kryera për secilën metodë - regjistri elektronik, posta elektronike, faqe interneti, takime publike, komitete këshillimore, etj.)</w:t>
      </w:r>
    </w:p>
    <w:p w14:paraId="3A753CF0" w14:textId="77777777" w:rsidR="00033988" w:rsidRPr="000C2083" w:rsidRDefault="00033988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465FF653" w14:textId="4C319B4C" w:rsidR="004C63D3" w:rsidRPr="000C2083" w:rsidRDefault="004C63D3" w:rsidP="000C2083">
      <w:pPr>
        <w:pStyle w:val="ListParagraph"/>
        <w:numPr>
          <w:ilvl w:val="0"/>
          <w:numId w:val="24"/>
        </w:numPr>
        <w:spacing w:after="160" w:line="276" w:lineRule="auto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C2083">
        <w:rPr>
          <w:rFonts w:ascii="Times New Roman" w:hAnsi="Times New Roman"/>
          <w:b/>
          <w:bCs/>
          <w:sz w:val="24"/>
          <w:szCs w:val="24"/>
          <w:lang w:val="sq-AL"/>
        </w:rPr>
        <w:t>Metodat e konsultimit të përdorura për projekt</w:t>
      </w:r>
      <w:r w:rsidR="00300168" w:rsidRPr="000C2083">
        <w:rPr>
          <w:rFonts w:ascii="Times New Roman" w:hAnsi="Times New Roman"/>
          <w:b/>
          <w:bCs/>
          <w:sz w:val="24"/>
          <w:szCs w:val="24"/>
          <w:lang w:val="sq-AL"/>
        </w:rPr>
        <w:t>vendimin</w:t>
      </w:r>
      <w:r w:rsidRPr="000C208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C2083">
        <w:rPr>
          <w:rFonts w:ascii="Times New Roman" w:hAnsi="Times New Roman"/>
          <w:bCs/>
          <w:sz w:val="24"/>
          <w:szCs w:val="24"/>
          <w:lang w:val="sq-AL"/>
        </w:rPr>
        <w:t>“Për miratimin e Dokumentit të Politikave të Përfshirjes Sociale 2024-2028”.</w:t>
      </w:r>
    </w:p>
    <w:p w14:paraId="22E314B9" w14:textId="77777777" w:rsidR="00F96CCE" w:rsidRPr="000C2083" w:rsidRDefault="0026697A" w:rsidP="000C2083">
      <w:pPr>
        <w:pStyle w:val="ListParagraph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Cs/>
          <w:sz w:val="24"/>
          <w:szCs w:val="24"/>
          <w:lang w:val="sq-AL"/>
        </w:rPr>
        <w:t>Takimet dhe tryeza</w:t>
      </w:r>
      <w:r w:rsidR="004C63D3" w:rsidRPr="000C2083">
        <w:rPr>
          <w:rFonts w:ascii="Times New Roman" w:hAnsi="Times New Roman"/>
          <w:bCs/>
          <w:sz w:val="24"/>
          <w:szCs w:val="24"/>
          <w:lang w:val="sq-AL"/>
        </w:rPr>
        <w:t xml:space="preserve"> konsultative dhe publikimi në Regjistrin Elektronik për N</w:t>
      </w:r>
      <w:r w:rsidR="00F96CCE" w:rsidRPr="000C2083">
        <w:rPr>
          <w:rFonts w:ascii="Times New Roman" w:hAnsi="Times New Roman"/>
          <w:bCs/>
          <w:sz w:val="24"/>
          <w:szCs w:val="24"/>
          <w:lang w:val="sq-AL"/>
        </w:rPr>
        <w:t>joftimet dhe Konsultimin Publik;</w:t>
      </w:r>
    </w:p>
    <w:p w14:paraId="729C829A" w14:textId="77777777" w:rsidR="00F96CCE" w:rsidRPr="000C2083" w:rsidRDefault="004C63D3" w:rsidP="000C2083">
      <w:pPr>
        <w:pStyle w:val="ListParagraph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lastRenderedPageBreak/>
        <w:t xml:space="preserve">Takim parapërgatitor me  Grupin e punës në nivel qendror e vendor mbi rekomandimet nga vlerësimi i strategjisë së mëparshme dhe diskutimi mbi qëllimet kryesore strategjike të Planit. </w:t>
      </w:r>
    </w:p>
    <w:p w14:paraId="3928F395" w14:textId="77777777" w:rsidR="00F96CCE" w:rsidRPr="000C2083" w:rsidRDefault="004C63D3" w:rsidP="000C2083">
      <w:pPr>
        <w:pStyle w:val="ListParagraph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 xml:space="preserve">Takim konsultues me grupin e punës dhe  shoqërinë civile mbi përzgjedhjen e qëllimeve strategjike në dhjetor </w:t>
      </w:r>
      <w:r w:rsidRPr="000C2083">
        <w:rPr>
          <w:rFonts w:ascii="Times New Roman" w:hAnsi="Times New Roman"/>
          <w:color w:val="000000"/>
          <w:sz w:val="24"/>
          <w:szCs w:val="24"/>
          <w:lang w:val="sq-AL"/>
        </w:rPr>
        <w:t>2022, pjesëmarrjen e përfaqësuesve të këtyre institutioneve.</w:t>
      </w:r>
    </w:p>
    <w:p w14:paraId="0904A497" w14:textId="77777777" w:rsidR="00F96CCE" w:rsidRPr="000C2083" w:rsidRDefault="004C63D3" w:rsidP="000C2083">
      <w:pPr>
        <w:pStyle w:val="ListParagraph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color w:val="000000"/>
          <w:sz w:val="24"/>
          <w:szCs w:val="24"/>
          <w:lang w:val="sq-AL"/>
        </w:rPr>
        <w:t xml:space="preserve">Nga data 30 qershor deri 28 korrik 2023 projektakti i është nënshtruar konsultimit publik përmes faqes së konsultimit publik. Ka pasur mbi 895 shikime të këtij draft-dokument. </w:t>
      </w:r>
    </w:p>
    <w:p w14:paraId="101F2F60" w14:textId="3AAE98FC" w:rsidR="00F96CCE" w:rsidRPr="000C2083" w:rsidRDefault="004C63D3" w:rsidP="000C2083">
      <w:pPr>
        <w:pStyle w:val="ListParagraph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Konsultim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miratimi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Këshillin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Konsultativ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Qeverisjes</w:t>
      </w:r>
      <w:proofErr w:type="spellEnd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Vendore</w:t>
      </w:r>
      <w:proofErr w:type="spellEnd"/>
      <w:r w:rsidR="00F96CCE" w:rsidRPr="000C20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EDE6686" w14:textId="176938A4" w:rsidR="004C63D3" w:rsidRPr="000C2083" w:rsidRDefault="004C63D3" w:rsidP="000C2083">
      <w:pPr>
        <w:pStyle w:val="ListParagraph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color w:val="000000"/>
          <w:sz w:val="24"/>
          <w:szCs w:val="24"/>
          <w:lang w:val="sq-AL"/>
        </w:rPr>
        <w:t>Në vijim Dokumenti i Politikave të Përfshirjes Sociale është konsultuar  në takimin e  Këshillit Konsultativ të Qeverisjes Vendore në mbledhjen e datës 4 Dhjetor 2023.</w:t>
      </w:r>
    </w:p>
    <w:p w14:paraId="6F96DF4A" w14:textId="77777777" w:rsidR="00DC5D7E" w:rsidRPr="000C2083" w:rsidRDefault="00DC5D7E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7836D77" w14:textId="3DB5A9E3" w:rsidR="00DC5D7E" w:rsidRPr="000C2083" w:rsidRDefault="00DC5D7E" w:rsidP="000C2083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C2083">
        <w:rPr>
          <w:rFonts w:ascii="Times New Roman" w:hAnsi="Times New Roman"/>
          <w:b/>
          <w:bCs/>
          <w:sz w:val="24"/>
          <w:szCs w:val="24"/>
          <w:lang w:val="sq-AL"/>
        </w:rPr>
        <w:t xml:space="preserve">Metodat e konsultimit të përdorura për projektligjin </w:t>
      </w:r>
      <w:r w:rsidR="00431EAB" w:rsidRPr="000C2083">
        <w:rPr>
          <w:rFonts w:ascii="Times New Roman" w:hAnsi="Times New Roman"/>
          <w:i/>
          <w:iCs/>
          <w:sz w:val="24"/>
          <w:szCs w:val="24"/>
          <w:lang w:val="sq-AL"/>
        </w:rPr>
        <w:t xml:space="preserve">"Për disa shtesa dhe ndryshime në Ligjin Nr. 95/2015 "Për shërbimet dhe produktet Biocide në Shëndetin Publik" </w:t>
      </w:r>
    </w:p>
    <w:p w14:paraId="1B7B26FB" w14:textId="77777777" w:rsidR="00E821FC" w:rsidRPr="000C2083" w:rsidRDefault="00E821FC" w:rsidP="000C208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84C5A2" w14:textId="1229F2F8" w:rsidR="00E821FC" w:rsidRPr="000C2083" w:rsidRDefault="00E821FC" w:rsidP="000C2083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iCs/>
          <w:sz w:val="24"/>
          <w:szCs w:val="24"/>
          <w:lang w:val="sq-AL"/>
        </w:rPr>
      </w:pPr>
      <w:r w:rsidRPr="000C2083">
        <w:rPr>
          <w:rFonts w:ascii="Times New Roman" w:hAnsi="Times New Roman"/>
          <w:iCs/>
          <w:sz w:val="24"/>
          <w:szCs w:val="24"/>
          <w:lang w:val="sq-AL"/>
        </w:rPr>
        <w:t xml:space="preserve">Projektligji "Për disa shtesa dhe ndryshime në Ligjin Nr. 95/2015 "Për shërbimet dhe produktet Biocide në Shëndetin Publik" u publikua në faqen zyrtare </w:t>
      </w:r>
      <w:r w:rsidR="000443B8">
        <w:fldChar w:fldCharType="begin"/>
      </w:r>
      <w:r w:rsidR="000443B8" w:rsidRPr="000443B8">
        <w:rPr>
          <w:lang w:val="sq-AL"/>
        </w:rPr>
        <w:instrText>HYPERLINK "https://www.konsultimipublik.gov.al/Konsultime/Institucioni/47%20,%20në%20datë%2014.10.2024"</w:instrText>
      </w:r>
      <w:r w:rsidR="000443B8">
        <w:fldChar w:fldCharType="separate"/>
      </w:r>
      <w:r w:rsidR="001005AC" w:rsidRPr="00011A75">
        <w:rPr>
          <w:rStyle w:val="Hyperlink"/>
          <w:rFonts w:ascii="Times New Roman" w:hAnsi="Times New Roman"/>
          <w:iCs/>
          <w:sz w:val="24"/>
          <w:szCs w:val="24"/>
          <w:lang w:val="sq-AL"/>
        </w:rPr>
        <w:t>https://www.konsultimipublik.gov.al/Konsultime/Institucioni/47</w:t>
      </w:r>
      <w:r w:rsidR="001005AC" w:rsidRPr="00011A75">
        <w:rPr>
          <w:rStyle w:val="Hyperlink"/>
          <w:rFonts w:ascii="Times New Roman" w:hAnsi="Times New Roman"/>
          <w:sz w:val="24"/>
          <w:szCs w:val="24"/>
          <w:lang w:val="sq-AL"/>
        </w:rPr>
        <w:t xml:space="preserve"> , në datë 14.10.2024</w:t>
      </w:r>
      <w:r w:rsidR="000443B8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Pr="000C2083">
        <w:rPr>
          <w:rFonts w:ascii="Times New Roman" w:hAnsi="Times New Roman"/>
          <w:iCs/>
          <w:sz w:val="24"/>
          <w:szCs w:val="24"/>
          <w:lang w:val="sq-AL"/>
        </w:rPr>
        <w:t xml:space="preserve"> deri  në datë 11.11.2024, duke respektuar afatin ligjor.</w:t>
      </w:r>
    </w:p>
    <w:p w14:paraId="5AD1056A" w14:textId="65427EFE" w:rsidR="00E821FC" w:rsidRPr="000C2083" w:rsidRDefault="00E821FC" w:rsidP="000C208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C2083">
        <w:rPr>
          <w:rFonts w:ascii="Times New Roman" w:hAnsi="Times New Roman"/>
          <w:iCs/>
          <w:sz w:val="24"/>
          <w:szCs w:val="24"/>
          <w:lang w:val="sq-AL"/>
        </w:rPr>
        <w:t>Në datë 25.10.2024 u është dërguar email subjekteve dhe grupeve të interesit për të marrë pjesë në takimin që do të zhvillohej në datë 31.10.2024 në Ministrinë</w:t>
      </w:r>
      <w:r w:rsidR="00157D62" w:rsidRPr="000C2083">
        <w:rPr>
          <w:rFonts w:ascii="Times New Roman" w:hAnsi="Times New Roman"/>
          <w:iCs/>
          <w:sz w:val="24"/>
          <w:szCs w:val="24"/>
          <w:lang w:val="sq-AL"/>
        </w:rPr>
        <w:t xml:space="preserve"> e</w:t>
      </w:r>
      <w:r w:rsidRPr="000C2083">
        <w:rPr>
          <w:rFonts w:ascii="Times New Roman" w:hAnsi="Times New Roman"/>
          <w:iCs/>
          <w:sz w:val="24"/>
          <w:szCs w:val="24"/>
          <w:lang w:val="sq-AL"/>
        </w:rPr>
        <w:t xml:space="preserve"> Shëndetësisë dhe Mbrojtjes Sociale.</w:t>
      </w:r>
    </w:p>
    <w:p w14:paraId="1FC9AB52" w14:textId="70659A6F" w:rsidR="00E821FC" w:rsidRPr="000C2083" w:rsidRDefault="00E821FC" w:rsidP="000C2083">
      <w:pPr>
        <w:pStyle w:val="ListParagraph"/>
        <w:numPr>
          <w:ilvl w:val="0"/>
          <w:numId w:val="19"/>
        </w:numPr>
        <w:spacing w:line="276" w:lineRule="auto"/>
        <w:jc w:val="both"/>
        <w:rPr>
          <w:rStyle w:val="CommentReference"/>
          <w:rFonts w:ascii="Times New Roman" w:hAnsi="Times New Roman"/>
          <w:iCs/>
          <w:sz w:val="24"/>
          <w:szCs w:val="24"/>
          <w:lang w:val="sq-AL"/>
        </w:rPr>
      </w:pPr>
      <w:r w:rsidRPr="000C2083">
        <w:rPr>
          <w:rFonts w:ascii="Times New Roman" w:hAnsi="Times New Roman"/>
          <w:iCs/>
          <w:sz w:val="24"/>
          <w:szCs w:val="24"/>
          <w:lang w:val="sq-AL"/>
        </w:rPr>
        <w:t>Në datë 31.10.2024 u zhvillua takim mes grupeve te interesit dhe përfaqësues nga grupi i punës nga Ministria e Shëndetësisë dhe Mbrojtjes Sociale</w:t>
      </w:r>
      <w:r w:rsidR="00A57CE4" w:rsidRPr="000C2083">
        <w:rPr>
          <w:rStyle w:val="CommentReference"/>
          <w:rFonts w:ascii="Times New Roman" w:eastAsiaTheme="minorHAnsi" w:hAnsi="Times New Roman"/>
          <w:sz w:val="24"/>
          <w:szCs w:val="24"/>
          <w:lang w:val="sq-AL"/>
        </w:rPr>
        <w:t>.</w:t>
      </w:r>
    </w:p>
    <w:p w14:paraId="39B69349" w14:textId="1EA056B8" w:rsidR="00A57CE4" w:rsidRPr="000443B8" w:rsidRDefault="00A57CE4" w:rsidP="000C2083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0C2083">
        <w:rPr>
          <w:rStyle w:val="normaltextrun"/>
          <w:rFonts w:eastAsia="MS Mincho"/>
          <w:lang w:val="sq-AL"/>
        </w:rPr>
        <w:t xml:space="preserve">Për konsultimin publik të </w:t>
      </w:r>
      <w:r w:rsidR="001005AC">
        <w:rPr>
          <w:rStyle w:val="normaltextrun"/>
          <w:rFonts w:eastAsia="MS Mincho"/>
          <w:lang w:val="sq-AL"/>
        </w:rPr>
        <w:t xml:space="preserve">projektvendimit </w:t>
      </w:r>
      <w:r w:rsidR="001005AC" w:rsidRPr="00282935">
        <w:rPr>
          <w:lang w:val="sq-AL"/>
        </w:rPr>
        <w:t>“Për miratimin e Strategjisë Kombëtare të Mbrojtjes Sociale 2024 – 2030 dhe të Planit</w:t>
      </w:r>
      <w:r w:rsidR="001005AC">
        <w:rPr>
          <w:lang w:val="sq-AL"/>
        </w:rPr>
        <w:t xml:space="preserve">  të Veprimit në zbatim të saj”, </w:t>
      </w:r>
      <w:r w:rsidRPr="000C2083">
        <w:rPr>
          <w:rStyle w:val="normaltextrun"/>
          <w:rFonts w:eastAsia="MS Mincho"/>
          <w:lang w:val="sq-AL"/>
        </w:rPr>
        <w:t>u përdorën metodat si më poshtë:</w:t>
      </w:r>
      <w:r w:rsidRPr="000443B8">
        <w:rPr>
          <w:rStyle w:val="eop"/>
          <w:lang w:val="sq-AL"/>
        </w:rPr>
        <w:t> </w:t>
      </w:r>
    </w:p>
    <w:p w14:paraId="2C3D272B" w14:textId="77777777" w:rsidR="00A57CE4" w:rsidRPr="000443B8" w:rsidRDefault="00A57CE4" w:rsidP="000C208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0443B8">
        <w:rPr>
          <w:rStyle w:val="eop"/>
          <w:lang w:val="sq-AL"/>
        </w:rPr>
        <w:t> </w:t>
      </w:r>
    </w:p>
    <w:p w14:paraId="411479AF" w14:textId="0F7B7C9B" w:rsidR="00A57CE4" w:rsidRPr="000C2083" w:rsidRDefault="00A57CE4" w:rsidP="000C2083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</w:pPr>
      <w:r w:rsidRPr="000C2083">
        <w:rPr>
          <w:rStyle w:val="normaltextrun"/>
          <w:rFonts w:eastAsia="MS Mincho"/>
          <w:lang w:val="sq-AL"/>
        </w:rPr>
        <w:t>Konsultimi publik nëpërmjet regjistrit elektronik të konsultimeve publike;</w:t>
      </w:r>
      <w:r w:rsidRPr="000C2083">
        <w:rPr>
          <w:rStyle w:val="eop"/>
        </w:rPr>
        <w:t> </w:t>
      </w:r>
    </w:p>
    <w:p w14:paraId="498CF8FA" w14:textId="42DD863C" w:rsidR="00A57CE4" w:rsidRPr="000C2083" w:rsidRDefault="00A57CE4" w:rsidP="000C2083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</w:pPr>
      <w:r w:rsidRPr="000C2083">
        <w:rPr>
          <w:rStyle w:val="normaltextrun"/>
          <w:rFonts w:eastAsia="MS Mincho"/>
          <w:lang w:val="sq-AL"/>
        </w:rPr>
        <w:t>Konsultim në kuadër të Urdhrit të  Ministrit të Shëndetësisë dhe Mbrojtjes Sociale 53/2023, “Për ngritjen e grupit të punës për shkrimin e Strategjisë së Mbrojtjes Sociale 2024-2030”;</w:t>
      </w:r>
      <w:r w:rsidRPr="000C2083">
        <w:rPr>
          <w:rStyle w:val="eop"/>
        </w:rPr>
        <w:t> </w:t>
      </w:r>
    </w:p>
    <w:p w14:paraId="403876D2" w14:textId="481BC78B" w:rsidR="00A57CE4" w:rsidRPr="008144CE" w:rsidRDefault="00A57CE4" w:rsidP="000C2083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lang w:val="da-DK"/>
        </w:rPr>
      </w:pPr>
      <w:r w:rsidRPr="000C2083">
        <w:rPr>
          <w:rStyle w:val="normaltextrun"/>
          <w:rFonts w:eastAsia="MS Mincho"/>
          <w:lang w:val="sq-AL"/>
        </w:rPr>
        <w:t>Takime konsultative me aktorë jo shtetëror.</w:t>
      </w:r>
      <w:r w:rsidRPr="008144CE">
        <w:rPr>
          <w:rStyle w:val="eop"/>
          <w:lang w:val="da-DK"/>
        </w:rPr>
        <w:t> </w:t>
      </w:r>
    </w:p>
    <w:p w14:paraId="5EEDD4C0" w14:textId="19C6E15C" w:rsidR="00A57CE4" w:rsidRPr="000443B8" w:rsidRDefault="00A57CE4" w:rsidP="001005AC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lang w:val="da-DK"/>
        </w:rPr>
      </w:pPr>
      <w:r w:rsidRPr="000C2083">
        <w:rPr>
          <w:rStyle w:val="normaltextrun"/>
          <w:rFonts w:eastAsia="MS Mincho"/>
          <w:lang w:val="sq-AL"/>
        </w:rPr>
        <w:t xml:space="preserve">U zhvilluan gjithashtu: </w:t>
      </w:r>
      <w:r w:rsidRPr="000443B8">
        <w:rPr>
          <w:rStyle w:val="eop"/>
          <w:lang w:val="da-DK"/>
        </w:rPr>
        <w:t> </w:t>
      </w:r>
      <w:r w:rsidRPr="001005AC">
        <w:rPr>
          <w:rStyle w:val="normaltextrun"/>
          <w:rFonts w:eastAsia="MS Mincho"/>
          <w:lang w:val="sq-AL"/>
        </w:rPr>
        <w:t>3 tryeza  diskutimi dhe këshillimi me shoqërinë civile (korrik-nëntor 2023) dhe me aktorët e terrenit që operojnë në fushën e reformave të mbrojtjes sociale;</w:t>
      </w:r>
      <w:r w:rsidRPr="000443B8">
        <w:rPr>
          <w:rStyle w:val="eop"/>
          <w:lang w:val="da-DK"/>
        </w:rPr>
        <w:t> </w:t>
      </w:r>
      <w:r w:rsidR="001005AC" w:rsidRPr="000443B8">
        <w:rPr>
          <w:lang w:val="da-DK"/>
        </w:rPr>
        <w:t xml:space="preserve"> dhe </w:t>
      </w:r>
      <w:r w:rsidRPr="001005AC">
        <w:rPr>
          <w:rStyle w:val="normaltextrun"/>
          <w:rFonts w:eastAsia="MS Mincho"/>
          <w:lang w:val="sq-AL"/>
        </w:rPr>
        <w:t>5 takime konsultative të ngushta teknike me anëtarë të grupit të punës të ngritur me Urdhër të  Ministrit të Shëndetësisë dhe Mbrojtjes Sociale 53/2023 “Për ngritjen e grupit të punës për shkrimin e Strategjisë së Mbrojtjes Sociale 2024-2030”.</w:t>
      </w:r>
      <w:r w:rsidRPr="000443B8">
        <w:rPr>
          <w:rStyle w:val="eop"/>
          <w:lang w:val="da-DK"/>
        </w:rPr>
        <w:t> </w:t>
      </w:r>
    </w:p>
    <w:p w14:paraId="6317E537" w14:textId="77777777" w:rsidR="00DC5D7E" w:rsidRPr="000C2083" w:rsidRDefault="00DC5D7E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25007B3B" w14:textId="3E5BCA48" w:rsidR="00C61409" w:rsidRPr="00B84B35" w:rsidRDefault="00C85797" w:rsidP="00B84B35">
      <w:pPr>
        <w:pStyle w:val="ListParagraph"/>
        <w:numPr>
          <w:ilvl w:val="2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Cila metodë konsultimi gjeneroi numrin më të madh të komenteve?</w:t>
      </w:r>
      <w:r w:rsidR="00FB61C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0F604454" w14:textId="1FEDC775" w:rsidR="00C85797" w:rsidRPr="000C2083" w:rsidRDefault="00FB61CC" w:rsidP="000C2083">
      <w:pPr>
        <w:shd w:val="clear" w:color="auto" w:fill="FFFFFF"/>
        <w:tabs>
          <w:tab w:val="left" w:pos="567"/>
        </w:tabs>
        <w:spacing w:line="276" w:lineRule="auto"/>
        <w:ind w:left="74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Numrin me te madh te </w:t>
      </w:r>
      <w:r w:rsidR="00600F57" w:rsidRPr="000C2083">
        <w:rPr>
          <w:rFonts w:ascii="Times New Roman" w:hAnsi="Times New Roman"/>
          <w:iCs/>
          <w:sz w:val="24"/>
          <w:szCs w:val="24"/>
          <w:lang w:val="sq-AL" w:eastAsia="sl-SI"/>
        </w:rPr>
        <w:t>komenteve e gjeneroi ajo me an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600F57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t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600F57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takimeve publike dhe n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600F57" w:rsidRPr="000C2083">
        <w:rPr>
          <w:rFonts w:ascii="Times New Roman" w:hAnsi="Times New Roman"/>
          <w:iCs/>
          <w:sz w:val="24"/>
          <w:szCs w:val="24"/>
          <w:lang w:val="sq-AL" w:eastAsia="sl-SI"/>
        </w:rPr>
        <w:t>p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rmjet emailit</w:t>
      </w:r>
      <w:r w:rsidR="00C61409" w:rsidRPr="000C2083">
        <w:rPr>
          <w:rFonts w:ascii="Times New Roman" w:hAnsi="Times New Roman"/>
          <w:iCs/>
          <w:sz w:val="24"/>
          <w:szCs w:val="24"/>
          <w:lang w:val="sq-AL" w:eastAsia="sl-SI"/>
        </w:rPr>
        <w:t>.</w:t>
      </w:r>
    </w:p>
    <w:p w14:paraId="490745D3" w14:textId="77777777" w:rsidR="00775D1B" w:rsidRPr="000C2083" w:rsidRDefault="00775D1B" w:rsidP="000C2083">
      <w:pPr>
        <w:shd w:val="clear" w:color="auto" w:fill="FFFFFF"/>
        <w:tabs>
          <w:tab w:val="left" w:pos="567"/>
        </w:tabs>
        <w:spacing w:line="276" w:lineRule="auto"/>
        <w:ind w:left="740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6BFEEA3A" w14:textId="312A5F59" w:rsidR="005F3F58" w:rsidRPr="00B84B35" w:rsidRDefault="00C85797" w:rsidP="00B84B35">
      <w:pPr>
        <w:pStyle w:val="ListParagraph"/>
        <w:numPr>
          <w:ilvl w:val="2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A organizoi institucioni konsultime paraprake në fazat e hershme të hartimit? Nëse po, në sa raste?</w:t>
      </w:r>
      <w:r w:rsidR="00FB61C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6EFCBC37" w14:textId="19C274CC" w:rsidR="00C04414" w:rsidRPr="000C2083" w:rsidRDefault="009034C1" w:rsidP="000C2083">
      <w:pPr>
        <w:shd w:val="clear" w:color="auto" w:fill="FFFFFF"/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1.</w:t>
      </w:r>
      <w:r w:rsidR="0064254A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P</w:t>
      </w:r>
      <w:r w:rsidR="00FB61C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er </w:t>
      </w:r>
      <w:r w:rsidR="00FB61CC" w:rsidRPr="000C2083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sq-AL"/>
        </w:rPr>
        <w:t>Projektvendim “Për miratimin e Dokumentit të Politikave të Përfshirjes Sociale 2024-2028”.</w:t>
      </w:r>
      <w:r w:rsidR="00B84B35" w:rsidRPr="00B84B35">
        <w:rPr>
          <w:rFonts w:ascii="Times New Roman" w:hAnsi="Times New Roman"/>
          <w:color w:val="333333"/>
          <w:sz w:val="24"/>
          <w:szCs w:val="24"/>
          <w:shd w:val="clear" w:color="auto" w:fill="FFFFFF"/>
          <w:lang w:val="sq-AL"/>
        </w:rPr>
        <w:t>N</w:t>
      </w:r>
      <w:r w:rsidR="00C04414" w:rsidRPr="000C2083">
        <w:rPr>
          <w:rFonts w:ascii="Times New Roman" w:hAnsi="Times New Roman"/>
          <w:sz w:val="24"/>
          <w:szCs w:val="24"/>
          <w:lang w:val="sq-AL"/>
        </w:rPr>
        <w:t xml:space="preserve">ë takimet e konsultimit parapërgatitore </w:t>
      </w:r>
      <w:r w:rsidR="00507876" w:rsidRPr="000C2083">
        <w:rPr>
          <w:rFonts w:ascii="Times New Roman" w:hAnsi="Times New Roman"/>
          <w:sz w:val="24"/>
          <w:szCs w:val="24"/>
          <w:lang w:val="sq-AL"/>
        </w:rPr>
        <w:t xml:space="preserve">moren pjese </w:t>
      </w:r>
      <w:r w:rsidR="00C04414" w:rsidRPr="000C2083">
        <w:rPr>
          <w:rFonts w:ascii="Times New Roman" w:hAnsi="Times New Roman"/>
          <w:sz w:val="24"/>
          <w:szCs w:val="24"/>
          <w:lang w:val="sq-AL"/>
        </w:rPr>
        <w:t>institucione qendrore dhe vendore, institucione të pavarura dhe organizata të shoqërisë civile. (2 institucione te pavarura, Avokati i Popullit dhe Komisioneri për Mbrojtjen nga Diskriminimi, 6 OJF, 1 Organizatë ndërkombetare UNDP ).</w:t>
      </w:r>
    </w:p>
    <w:p w14:paraId="7878D6CB" w14:textId="77777777" w:rsidR="009034C1" w:rsidRPr="000C2083" w:rsidRDefault="009034C1" w:rsidP="000C2083">
      <w:pPr>
        <w:shd w:val="clear" w:color="auto" w:fill="FFFFFF"/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06DEAE4" w14:textId="61B4AC79" w:rsidR="009034C1" w:rsidRPr="000C2083" w:rsidRDefault="009034C1" w:rsidP="000C2083">
      <w:pPr>
        <w:spacing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2.P</w:t>
      </w:r>
      <w:r w:rsidR="00191DC2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r projektligjin </w:t>
      </w:r>
      <w:r w:rsidRPr="000C2083">
        <w:rPr>
          <w:rFonts w:ascii="Times New Roman" w:hAnsi="Times New Roman"/>
          <w:i/>
          <w:iCs/>
          <w:sz w:val="24"/>
          <w:szCs w:val="24"/>
          <w:lang w:val="sq-AL"/>
        </w:rPr>
        <w:t xml:space="preserve">Për disa shtesa dhe ndryshime në Ligjin Nr. 95/2015 "Për shërbimet dhe produktet Biocide në Shëndetin Publik" 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Palët e interesuara të cilët kanë dhënë komente/kontribut në konsultimin publik gjatë procesit të hartimit, janë 8 përfaqësues si më poshtë: 1 përfaqësues nga shoqëria “Arli International” shpk, 1 përfaqësues nga shoqëria “Meldi” shpk, 1 përfaqësues nga shoqëria “Air” shpk, 3 përfaqësues nga shoqëria “2AT” shpk </w:t>
      </w:r>
    </w:p>
    <w:p w14:paraId="5098D9D3" w14:textId="2A38B122" w:rsidR="00C04414" w:rsidRPr="000C2083" w:rsidRDefault="009034C1" w:rsidP="000C2083">
      <w:pPr>
        <w:pStyle w:val="ListParagraph"/>
        <w:numPr>
          <w:ilvl w:val="0"/>
          <w:numId w:val="9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2 për</w:t>
      </w:r>
      <w:r w:rsidR="00600F57" w:rsidRPr="000C2083">
        <w:rPr>
          <w:rFonts w:ascii="Times New Roman" w:hAnsi="Times New Roman"/>
          <w:sz w:val="24"/>
          <w:szCs w:val="24"/>
          <w:lang w:val="sq-AL"/>
        </w:rPr>
        <w:t>faqësues nga shoqëria “NRG” shpk.</w:t>
      </w:r>
    </w:p>
    <w:p w14:paraId="5BF029C2" w14:textId="13805FF1" w:rsidR="00600F57" w:rsidRPr="008144CE" w:rsidRDefault="00600F57" w:rsidP="000C2083">
      <w:pPr>
        <w:tabs>
          <w:tab w:val="left" w:pos="7552"/>
        </w:tabs>
        <w:spacing w:line="276" w:lineRule="auto"/>
        <w:ind w:left="360"/>
        <w:jc w:val="both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0C2083">
        <w:rPr>
          <w:rFonts w:ascii="Times New Roman" w:hAnsi="Times New Roman"/>
          <w:i/>
          <w:sz w:val="24"/>
          <w:szCs w:val="24"/>
          <w:lang w:val="sq-AL"/>
        </w:rPr>
        <w:t>3.P</w:t>
      </w:r>
      <w:r w:rsidR="000C2083" w:rsidRPr="000C2083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0C2083">
        <w:rPr>
          <w:rFonts w:ascii="Times New Roman" w:hAnsi="Times New Roman"/>
          <w:i/>
          <w:sz w:val="24"/>
          <w:szCs w:val="24"/>
          <w:lang w:val="sq-AL"/>
        </w:rPr>
        <w:t xml:space="preserve">r projektvendimin </w:t>
      </w:r>
      <w:r w:rsidRPr="008144CE">
        <w:rPr>
          <w:rStyle w:val="normaltextrun"/>
          <w:rFonts w:ascii="Times New Roman" w:hAnsi="Times New Roman"/>
          <w:i/>
          <w:color w:val="000000"/>
          <w:sz w:val="24"/>
          <w:szCs w:val="24"/>
          <w:shd w:val="clear" w:color="auto" w:fill="FFFFFF"/>
          <w:lang w:val="sq-AL"/>
        </w:rPr>
        <w:t>“Për miratimin e Strategjisë së Mbrojtjes Sociale 2024-2030 dhe Planit të tij të veprimit”</w:t>
      </w:r>
      <w:r w:rsidRPr="008144C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="000C2083" w:rsidRPr="008144C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Pr="008144C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sht</w:t>
      </w:r>
      <w:r w:rsidR="000C2083" w:rsidRPr="008144C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Pr="008144C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realizuar </w:t>
      </w:r>
      <w:r w:rsidRPr="000C2083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konsultim paraprak</w:t>
      </w:r>
      <w:r w:rsidR="000A60F5" w:rsidRPr="000C2083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,</w:t>
      </w:r>
      <w:r w:rsidRPr="000C2083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në kuadër të Urdhrit të  Ministrit të Shëndetësisë dhe Mbrojtjes Sociale 53/2023, “Për ngritjen e grupit të punës për shkrimin e Strategjisë së Mbrojtjes Sociale 2024-2030”</w:t>
      </w:r>
      <w:r w:rsidR="000A60F5" w:rsidRPr="000C2083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.</w:t>
      </w:r>
    </w:p>
    <w:p w14:paraId="1AF1ADA0" w14:textId="77777777" w:rsidR="00600F57" w:rsidRPr="000C2083" w:rsidRDefault="00600F57" w:rsidP="000C2083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E927C06" w14:textId="62773A6E" w:rsidR="005F3F58" w:rsidRPr="000C2083" w:rsidRDefault="005F3F58" w:rsidP="000C2083">
      <w:pPr>
        <w:pStyle w:val="ListParagraph"/>
        <w:numPr>
          <w:ilvl w:val="1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i/>
          <w:iCs/>
          <w:sz w:val="24"/>
          <w:szCs w:val="24"/>
          <w:lang w:val="sq-AL" w:eastAsia="sl-SI"/>
        </w:rPr>
        <w:t>Kohëzgjatja e konsultimeve</w:t>
      </w:r>
    </w:p>
    <w:p w14:paraId="74ACAA00" w14:textId="77777777" w:rsidR="005F3F58" w:rsidRPr="000C2083" w:rsidRDefault="005F3F58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Sa konsultime ishin të hapura për 20 ditë pune siç kërkohet nga ligji? Cila ishte periudha më e gjatë apo më e shkurtër e kohëzgjatjes së konsultimeve? </w:t>
      </w:r>
    </w:p>
    <w:p w14:paraId="17593B3B" w14:textId="77777777" w:rsidR="005F3F58" w:rsidRPr="000C2083" w:rsidRDefault="005F3F58" w:rsidP="000C2083">
      <w:pPr>
        <w:shd w:val="clear" w:color="auto" w:fill="FFFFFF"/>
        <w:tabs>
          <w:tab w:val="left" w:pos="567"/>
        </w:tabs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222B5298" w14:textId="271DC524" w:rsidR="005F3F58" w:rsidRPr="000C2083" w:rsidRDefault="005F3F58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Konsultimi publik ka qenë i hapur për 20 (njëzet) ditë pune nga data e njoftimit, të kërkuara minimalisht sipas ligjit, për 3 aktet e miratuara, të cilat i janë nënshtruar këtij procesi gjatë vitit 2024. Përkatësisht:</w:t>
      </w:r>
    </w:p>
    <w:p w14:paraId="13A6576B" w14:textId="77777777" w:rsidR="005405E3" w:rsidRPr="000C2083" w:rsidRDefault="005405E3" w:rsidP="000C2083">
      <w:pPr>
        <w:shd w:val="clear" w:color="auto" w:fill="FFFFFF"/>
        <w:tabs>
          <w:tab w:val="left" w:pos="567"/>
        </w:tabs>
        <w:spacing w:line="276" w:lineRule="auto"/>
        <w:ind w:left="77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5D955D25" w14:textId="4318996F" w:rsidR="009B52BA" w:rsidRPr="000C2083" w:rsidRDefault="009B52BA" w:rsidP="000C2083">
      <w:pPr>
        <w:pStyle w:val="ListParagraph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 xml:space="preserve">Konsultimi për Projektvendimin “Për miratimin e Dokumentit të Politikave të Përfshirjes Sociale 2024-2028” ka zgjatur nga data </w:t>
      </w:r>
      <w:r w:rsidRPr="000C2083">
        <w:rPr>
          <w:rFonts w:ascii="Times New Roman" w:hAnsi="Times New Roman"/>
          <w:bCs/>
          <w:sz w:val="24"/>
          <w:szCs w:val="24"/>
          <w:lang w:val="sq-AL"/>
        </w:rPr>
        <w:t>30.06.2023 – 28.07.2023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D952AE" w:rsidRPr="000C2083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2E2784" w:rsidRPr="000C2083">
        <w:rPr>
          <w:rFonts w:ascii="Times New Roman" w:hAnsi="Times New Roman"/>
          <w:bCs/>
          <w:sz w:val="24"/>
          <w:szCs w:val="24"/>
          <w:lang w:val="sq-AL"/>
        </w:rPr>
        <w:t>26.07.2024 data e mbylljes  23.08 2024.</w:t>
      </w:r>
      <w:r w:rsidR="002E2784" w:rsidRPr="000C208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465E0719" w14:textId="16F3073E" w:rsidR="00894B7C" w:rsidRPr="000C2083" w:rsidRDefault="009B52BA" w:rsidP="000C208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Konsultime janë zhvilluar përmes takimeve dhe tryezave konsultative në MSHMS.</w:t>
      </w:r>
    </w:p>
    <w:p w14:paraId="432A2569" w14:textId="5579C2A1" w:rsidR="005405E3" w:rsidRPr="000C2083" w:rsidRDefault="005405E3" w:rsidP="000C208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ED65B68" w14:textId="602D5119" w:rsidR="00393343" w:rsidRPr="000C2083" w:rsidRDefault="005405E3" w:rsidP="000C2083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Konsultimi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r projektligjin 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Për disa shtesa dhe ndryshime në Ligjin Nr. 95/2015 "Për shërbimet dhe produktet Biocide në Shëndetin Publik Kohëzgjatja e përgjithshme e </w:t>
      </w:r>
      <w:r w:rsidRPr="000C2083">
        <w:rPr>
          <w:rFonts w:ascii="Times New Roman" w:hAnsi="Times New Roman"/>
          <w:sz w:val="24"/>
          <w:szCs w:val="24"/>
          <w:lang w:val="sq-AL"/>
        </w:rPr>
        <w:lastRenderedPageBreak/>
        <w:t xml:space="preserve">konsultimeve publike ka qenë nga data 14.10.2024 deri më 11.11.2024. </w:t>
      </w:r>
      <w:proofErr w:type="spellStart"/>
      <w:r w:rsidRPr="000C2083">
        <w:rPr>
          <w:rFonts w:ascii="Times New Roman" w:hAnsi="Times New Roman"/>
          <w:sz w:val="24"/>
          <w:szCs w:val="24"/>
        </w:rPr>
        <w:t>Në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këtë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afat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përfshihen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komunikimet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elektronike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dhe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konsultimi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përmes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regjistrit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elektronik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(RENJKP).</w:t>
      </w:r>
    </w:p>
    <w:p w14:paraId="4281DCA5" w14:textId="23FAC20D" w:rsidR="0024599C" w:rsidRPr="000C2083" w:rsidRDefault="00393343" w:rsidP="000C2083">
      <w:pPr>
        <w:pStyle w:val="ListParagraph"/>
        <w:numPr>
          <w:ilvl w:val="0"/>
          <w:numId w:val="26"/>
        </w:numPr>
        <w:spacing w:line="276" w:lineRule="auto"/>
        <w:jc w:val="both"/>
        <w:rPr>
          <w:rStyle w:val="CommentReference"/>
          <w:rFonts w:ascii="Times New Roman" w:hAnsi="Times New Roman"/>
          <w:sz w:val="24"/>
          <w:szCs w:val="24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Konsultimi për Projektvendimin “</w:t>
      </w:r>
      <w:proofErr w:type="spellStart"/>
      <w:r w:rsidRPr="000C2083">
        <w:rPr>
          <w:rFonts w:ascii="Times New Roman" w:hAnsi="Times New Roman"/>
          <w:sz w:val="24"/>
          <w:szCs w:val="24"/>
        </w:rPr>
        <w:t>P</w:t>
      </w:r>
      <w:r w:rsidR="000C2083" w:rsidRPr="000C2083">
        <w:rPr>
          <w:rFonts w:ascii="Times New Roman" w:hAnsi="Times New Roman"/>
          <w:sz w:val="24"/>
          <w:szCs w:val="24"/>
        </w:rPr>
        <w:t>ë</w:t>
      </w:r>
      <w:r w:rsidRPr="000C2083">
        <w:rPr>
          <w:rFonts w:ascii="Times New Roman" w:hAnsi="Times New Roman"/>
          <w:sz w:val="24"/>
          <w:szCs w:val="24"/>
        </w:rPr>
        <w:t>r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miratimin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e Strategjisë </w:t>
      </w:r>
      <w:proofErr w:type="spellStart"/>
      <w:r w:rsidRPr="000C2083">
        <w:rPr>
          <w:rFonts w:ascii="Times New Roman" w:hAnsi="Times New Roman"/>
          <w:sz w:val="24"/>
          <w:szCs w:val="24"/>
        </w:rPr>
        <w:t>Kombëtare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të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Mbrojtjes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Sociale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2024 – 2030 </w:t>
      </w:r>
      <w:proofErr w:type="spellStart"/>
      <w:r w:rsidRPr="000C2083">
        <w:rPr>
          <w:rFonts w:ascii="Times New Roman" w:hAnsi="Times New Roman"/>
          <w:sz w:val="24"/>
          <w:szCs w:val="24"/>
        </w:rPr>
        <w:t>dhe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të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Planit  </w:t>
      </w:r>
      <w:proofErr w:type="spellStart"/>
      <w:r w:rsidRPr="000C2083">
        <w:rPr>
          <w:rFonts w:ascii="Times New Roman" w:hAnsi="Times New Roman"/>
          <w:sz w:val="24"/>
          <w:szCs w:val="24"/>
        </w:rPr>
        <w:t>të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Veprimit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në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zbatim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të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saj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0C2083" w:rsidRPr="000C2083">
        <w:rPr>
          <w:rFonts w:ascii="Times New Roman" w:hAnsi="Times New Roman"/>
          <w:sz w:val="24"/>
          <w:szCs w:val="24"/>
        </w:rPr>
        <w:t>ë</w:t>
      </w:r>
      <w:r w:rsidRPr="000C2083">
        <w:rPr>
          <w:rFonts w:ascii="Times New Roman" w:hAnsi="Times New Roman"/>
          <w:sz w:val="24"/>
          <w:szCs w:val="24"/>
        </w:rPr>
        <w:t>sht</w:t>
      </w:r>
      <w:r w:rsidR="000C2083" w:rsidRPr="000C2083">
        <w:rPr>
          <w:rFonts w:ascii="Times New Roman" w:hAnsi="Times New Roman"/>
          <w:sz w:val="24"/>
          <w:szCs w:val="24"/>
        </w:rPr>
        <w:t>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publikuar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n</w:t>
      </w:r>
      <w:r w:rsidR="000C2083" w:rsidRPr="000C2083">
        <w:rPr>
          <w:rFonts w:ascii="Times New Roman" w:hAnsi="Times New Roman"/>
          <w:sz w:val="24"/>
          <w:szCs w:val="24"/>
        </w:rPr>
        <w:t>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RENJKP </w:t>
      </w:r>
      <w:proofErr w:type="spellStart"/>
      <w:r w:rsidRPr="000C2083">
        <w:rPr>
          <w:rFonts w:ascii="Times New Roman" w:hAnsi="Times New Roman"/>
          <w:sz w:val="24"/>
          <w:szCs w:val="24"/>
        </w:rPr>
        <w:t>n</w:t>
      </w:r>
      <w:r w:rsidR="000C2083" w:rsidRPr="000C2083">
        <w:rPr>
          <w:rFonts w:ascii="Times New Roman" w:hAnsi="Times New Roman"/>
          <w:sz w:val="24"/>
          <w:szCs w:val="24"/>
        </w:rPr>
        <w:t>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2083">
        <w:rPr>
          <w:rFonts w:ascii="Times New Roman" w:hAnsi="Times New Roman"/>
          <w:sz w:val="24"/>
          <w:szCs w:val="24"/>
        </w:rPr>
        <w:t>dat</w:t>
      </w:r>
      <w:r w:rsidR="000C2083" w:rsidRPr="000C2083">
        <w:rPr>
          <w:rFonts w:ascii="Times New Roman" w:hAnsi="Times New Roman"/>
          <w:sz w:val="24"/>
          <w:szCs w:val="24"/>
        </w:rPr>
        <w:t>ë</w:t>
      </w:r>
      <w:proofErr w:type="spellEnd"/>
      <w:r w:rsidRPr="000C2083">
        <w:rPr>
          <w:rFonts w:ascii="Times New Roman" w:hAnsi="Times New Roman"/>
          <w:sz w:val="24"/>
          <w:szCs w:val="24"/>
        </w:rPr>
        <w:t xml:space="preserve"> 20.11.2023-18.12.2023</w:t>
      </w:r>
      <w:r w:rsidR="0024599C" w:rsidRPr="000C2083">
        <w:rPr>
          <w:rStyle w:val="CommentReference"/>
          <w:rFonts w:ascii="Times New Roman" w:eastAsiaTheme="minorHAnsi" w:hAnsi="Times New Roman"/>
          <w:sz w:val="24"/>
          <w:szCs w:val="24"/>
          <w:lang w:val="sq-AL"/>
        </w:rPr>
        <w:t>.</w:t>
      </w:r>
    </w:p>
    <w:p w14:paraId="5DFE9E56" w14:textId="540779EB" w:rsidR="00393343" w:rsidRPr="00B84B35" w:rsidRDefault="000A60F5" w:rsidP="00B84B35">
      <w:pPr>
        <w:pStyle w:val="NormalWeb"/>
        <w:spacing w:line="276" w:lineRule="auto"/>
        <w:ind w:left="1080"/>
        <w:jc w:val="both"/>
        <w:rPr>
          <w:color w:val="000000"/>
        </w:rPr>
      </w:pPr>
      <w:r w:rsidRPr="000C2083">
        <w:rPr>
          <w:color w:val="000000"/>
        </w:rPr>
        <w:t xml:space="preserve">U </w:t>
      </w:r>
      <w:proofErr w:type="spellStart"/>
      <w:r w:rsidR="0024599C" w:rsidRPr="000C2083">
        <w:rPr>
          <w:color w:val="000000"/>
        </w:rPr>
        <w:t>zhvilluan</w:t>
      </w:r>
      <w:proofErr w:type="spellEnd"/>
      <w:r w:rsidR="0024599C" w:rsidRPr="000C2083">
        <w:rPr>
          <w:color w:val="000000"/>
        </w:rPr>
        <w:t xml:space="preserve"> 3 </w:t>
      </w:r>
      <w:proofErr w:type="spellStart"/>
      <w:r w:rsidR="0024599C" w:rsidRPr="000C2083">
        <w:rPr>
          <w:color w:val="000000"/>
        </w:rPr>
        <w:t>tryeza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diskutimi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dhe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këshillimi</w:t>
      </w:r>
      <w:proofErr w:type="spellEnd"/>
      <w:r w:rsidR="0024599C" w:rsidRPr="000C2083">
        <w:rPr>
          <w:color w:val="000000"/>
        </w:rPr>
        <w:t xml:space="preserve"> me </w:t>
      </w:r>
      <w:proofErr w:type="spellStart"/>
      <w:r w:rsidR="0024599C" w:rsidRPr="000C2083">
        <w:rPr>
          <w:color w:val="000000"/>
        </w:rPr>
        <w:t>shoqërinë</w:t>
      </w:r>
      <w:proofErr w:type="spellEnd"/>
      <w:r w:rsidR="0024599C" w:rsidRPr="000C2083">
        <w:rPr>
          <w:color w:val="000000"/>
        </w:rPr>
        <w:t xml:space="preserve"> civile (</w:t>
      </w:r>
      <w:proofErr w:type="spellStart"/>
      <w:r w:rsidR="0024599C" w:rsidRPr="000C2083">
        <w:rPr>
          <w:color w:val="000000"/>
        </w:rPr>
        <w:t>korrik-nëntor</w:t>
      </w:r>
      <w:proofErr w:type="spellEnd"/>
      <w:r w:rsidR="0024599C" w:rsidRPr="000C2083">
        <w:rPr>
          <w:color w:val="000000"/>
        </w:rPr>
        <w:t xml:space="preserve"> 2023) </w:t>
      </w:r>
      <w:proofErr w:type="spellStart"/>
      <w:r w:rsidR="0024599C" w:rsidRPr="000C2083">
        <w:rPr>
          <w:color w:val="000000"/>
        </w:rPr>
        <w:t>dhe</w:t>
      </w:r>
      <w:proofErr w:type="spellEnd"/>
      <w:r w:rsidR="0024599C" w:rsidRPr="000C2083">
        <w:rPr>
          <w:color w:val="000000"/>
        </w:rPr>
        <w:t xml:space="preserve"> me </w:t>
      </w:r>
      <w:proofErr w:type="spellStart"/>
      <w:r w:rsidR="0024599C" w:rsidRPr="000C2083">
        <w:rPr>
          <w:color w:val="000000"/>
        </w:rPr>
        <w:t>aktorët</w:t>
      </w:r>
      <w:proofErr w:type="spellEnd"/>
      <w:r w:rsidR="0024599C" w:rsidRPr="000C2083">
        <w:rPr>
          <w:color w:val="000000"/>
        </w:rPr>
        <w:t xml:space="preserve"> e </w:t>
      </w:r>
      <w:proofErr w:type="spellStart"/>
      <w:r w:rsidR="0024599C" w:rsidRPr="000C2083">
        <w:rPr>
          <w:color w:val="000000"/>
        </w:rPr>
        <w:t>terrenit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që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operojnë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në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fushën</w:t>
      </w:r>
      <w:proofErr w:type="spellEnd"/>
      <w:r w:rsidR="0024599C" w:rsidRPr="000C2083">
        <w:rPr>
          <w:color w:val="000000"/>
        </w:rPr>
        <w:t xml:space="preserve"> e </w:t>
      </w:r>
      <w:proofErr w:type="spellStart"/>
      <w:r w:rsidR="0024599C" w:rsidRPr="000C2083">
        <w:rPr>
          <w:color w:val="000000"/>
        </w:rPr>
        <w:t>reformave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mbrojtjes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sociale</w:t>
      </w:r>
      <w:proofErr w:type="spellEnd"/>
      <w:r w:rsidR="0024599C" w:rsidRPr="000C2083">
        <w:rPr>
          <w:color w:val="000000"/>
        </w:rPr>
        <w:t xml:space="preserve">; - 5 </w:t>
      </w:r>
      <w:proofErr w:type="spellStart"/>
      <w:r w:rsidR="0024599C" w:rsidRPr="000C2083">
        <w:rPr>
          <w:color w:val="000000"/>
        </w:rPr>
        <w:t>takime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konsultative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ngushta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teknike</w:t>
      </w:r>
      <w:proofErr w:type="spellEnd"/>
      <w:r w:rsidR="0024599C" w:rsidRPr="000C2083">
        <w:rPr>
          <w:color w:val="000000"/>
        </w:rPr>
        <w:t xml:space="preserve"> me </w:t>
      </w:r>
      <w:proofErr w:type="spellStart"/>
      <w:r w:rsidR="0024599C" w:rsidRPr="000C2083">
        <w:rPr>
          <w:color w:val="000000"/>
        </w:rPr>
        <w:t>anëtarë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grupit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punës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ngritur</w:t>
      </w:r>
      <w:proofErr w:type="spellEnd"/>
      <w:r w:rsidR="0024599C" w:rsidRPr="000C2083">
        <w:rPr>
          <w:color w:val="000000"/>
        </w:rPr>
        <w:t xml:space="preserve"> me </w:t>
      </w:r>
      <w:proofErr w:type="spellStart"/>
      <w:r w:rsidR="0024599C" w:rsidRPr="000C2083">
        <w:rPr>
          <w:color w:val="000000"/>
        </w:rPr>
        <w:t>Urdhër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Ministrit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Shëndetësisë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dhe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Mbrojtjes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Sociale</w:t>
      </w:r>
      <w:proofErr w:type="spellEnd"/>
      <w:r w:rsidR="0024599C" w:rsidRPr="000C2083">
        <w:rPr>
          <w:color w:val="000000"/>
        </w:rPr>
        <w:t xml:space="preserve"> 53/2023 “</w:t>
      </w:r>
      <w:proofErr w:type="spellStart"/>
      <w:r w:rsidR="0024599C" w:rsidRPr="000C2083">
        <w:rPr>
          <w:color w:val="000000"/>
        </w:rPr>
        <w:t>Për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ngritjen</w:t>
      </w:r>
      <w:proofErr w:type="spellEnd"/>
      <w:r w:rsidR="0024599C" w:rsidRPr="000C2083">
        <w:rPr>
          <w:color w:val="000000"/>
        </w:rPr>
        <w:t xml:space="preserve"> e </w:t>
      </w:r>
      <w:proofErr w:type="spellStart"/>
      <w:r w:rsidR="0024599C" w:rsidRPr="000C2083">
        <w:rPr>
          <w:color w:val="000000"/>
        </w:rPr>
        <w:t>grupit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të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punës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për</w:t>
      </w:r>
      <w:proofErr w:type="spellEnd"/>
      <w:r w:rsidR="0024599C" w:rsidRPr="000C2083">
        <w:rPr>
          <w:color w:val="000000"/>
        </w:rPr>
        <w:t xml:space="preserve"> </w:t>
      </w:r>
      <w:proofErr w:type="spellStart"/>
      <w:r w:rsidR="0024599C" w:rsidRPr="000C2083">
        <w:rPr>
          <w:color w:val="000000"/>
        </w:rPr>
        <w:t>shkrimin</w:t>
      </w:r>
      <w:proofErr w:type="spellEnd"/>
      <w:r w:rsidR="0024599C" w:rsidRPr="000C2083">
        <w:rPr>
          <w:color w:val="000000"/>
        </w:rPr>
        <w:t xml:space="preserve"> e Strategjisë </w:t>
      </w:r>
      <w:proofErr w:type="spellStart"/>
      <w:r w:rsidR="003A5280" w:rsidRPr="000C2083">
        <w:rPr>
          <w:color w:val="000000"/>
        </w:rPr>
        <w:t>së</w:t>
      </w:r>
      <w:proofErr w:type="spellEnd"/>
      <w:r w:rsidR="003A5280" w:rsidRPr="000C2083">
        <w:rPr>
          <w:color w:val="000000"/>
        </w:rPr>
        <w:t xml:space="preserve"> </w:t>
      </w:r>
      <w:proofErr w:type="spellStart"/>
      <w:r w:rsidR="003A5280" w:rsidRPr="000C2083">
        <w:rPr>
          <w:color w:val="000000"/>
        </w:rPr>
        <w:t>Mbrojtjes</w:t>
      </w:r>
      <w:proofErr w:type="spellEnd"/>
      <w:r w:rsidR="003A5280" w:rsidRPr="000C2083">
        <w:rPr>
          <w:color w:val="000000"/>
        </w:rPr>
        <w:t xml:space="preserve"> </w:t>
      </w:r>
      <w:proofErr w:type="spellStart"/>
      <w:r w:rsidR="003A5280" w:rsidRPr="000C2083">
        <w:rPr>
          <w:color w:val="000000"/>
        </w:rPr>
        <w:t>Sociale</w:t>
      </w:r>
      <w:proofErr w:type="spellEnd"/>
      <w:r w:rsidR="003A5280" w:rsidRPr="000C2083">
        <w:rPr>
          <w:color w:val="000000"/>
        </w:rPr>
        <w:t xml:space="preserve"> 2024-2030”</w:t>
      </w:r>
    </w:p>
    <w:p w14:paraId="27F01E4A" w14:textId="77777777" w:rsidR="005F3F58" w:rsidRPr="000C2083" w:rsidRDefault="00C85797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A është përmirësuar situata në krahasim me vitet e kaluara?</w:t>
      </w:r>
      <w:r w:rsidR="00B277E8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588B415D" w14:textId="77777777" w:rsidR="0076096A" w:rsidRPr="000C2083" w:rsidRDefault="0076096A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4BC8050D" w14:textId="0AE35BEF" w:rsidR="00715718" w:rsidRPr="000C2083" w:rsidRDefault="0076096A" w:rsidP="000C2083">
      <w:pPr>
        <w:spacing w:after="19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Situata është përmirësuar krahasuar me vitin e kaluar. Duke krahasuar me vitet e shkuara, procesi i konsultimit ka zgjatur m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shum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, duke p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rfshir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periudh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n e konsultimit paraprak si dhe n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Regjistrin Elektronik t</w:t>
      </w:r>
      <w:r w:rsidR="000C2083"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ë</w:t>
      </w:r>
      <w:r w:rsidRPr="000C20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Konsultimeve Publike.</w:t>
      </w:r>
    </w:p>
    <w:p w14:paraId="11F1EDE9" w14:textId="3EBD31C6" w:rsidR="00C85797" w:rsidRPr="000C2083" w:rsidRDefault="00FC3D8D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N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krahasim me vitet e kaluara vler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sojm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se situata ka ardhur duke u p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rmir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suar</w:t>
      </w:r>
      <w:r w:rsidR="00715718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si nga niveli i pjesmarrjes s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sa m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shum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aktor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iCs/>
          <w:sz w:val="24"/>
          <w:szCs w:val="24"/>
          <w:lang w:val="sq-AL" w:eastAsia="sl-SI"/>
        </w:rPr>
        <w:t>ve ashtu edhe i metodave 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715718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konsultimit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. </w:t>
      </w:r>
    </w:p>
    <w:p w14:paraId="0940C3F0" w14:textId="77777777" w:rsidR="00C85797" w:rsidRPr="000C2083" w:rsidRDefault="00C85797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14A97BD2" w14:textId="77777777" w:rsidR="00C85797" w:rsidRPr="000C2083" w:rsidRDefault="00C85797" w:rsidP="000C2083">
      <w:pPr>
        <w:pStyle w:val="ListParagraph"/>
        <w:numPr>
          <w:ilvl w:val="1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i/>
          <w:iCs/>
          <w:sz w:val="24"/>
          <w:szCs w:val="24"/>
          <w:lang w:val="sq-AL" w:eastAsia="sl-SI"/>
        </w:rPr>
        <w:t>Palët e interesuara të përfshira</w:t>
      </w:r>
    </w:p>
    <w:p w14:paraId="44FFF284" w14:textId="77777777" w:rsidR="00C85797" w:rsidRPr="000C2083" w:rsidRDefault="00C85797" w:rsidP="000C2083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aktorë të jashtëm, jo-qeveritarë morën pjesë për hartimin e akteve si anëtarë të caktuar të grupeve të punës/organeve këshillimore në vitin e caktuar?</w:t>
      </w:r>
    </w:p>
    <w:p w14:paraId="08C77900" w14:textId="77777777" w:rsidR="00740BDC" w:rsidRPr="000C2083" w:rsidRDefault="00740BDC" w:rsidP="000C2083">
      <w:pPr>
        <w:shd w:val="clear" w:color="auto" w:fill="FFFFFF"/>
        <w:tabs>
          <w:tab w:val="left" w:pos="567"/>
        </w:tabs>
        <w:spacing w:line="276" w:lineRule="auto"/>
        <w:ind w:left="41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06666A36" w14:textId="692B44FE" w:rsidR="00740BDC" w:rsidRPr="000C2083" w:rsidRDefault="00B277E8" w:rsidP="000C2083">
      <w:pPr>
        <w:pStyle w:val="CommentText"/>
        <w:numPr>
          <w:ilvl w:val="0"/>
          <w:numId w:val="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 xml:space="preserve">Për Projektvendimin “Për miratimin e Dokumentit të Politikave të Përfshirjes Sociale 2024-2028”, </w:t>
      </w:r>
      <w:r w:rsidR="00740BDC" w:rsidRPr="000C2083">
        <w:rPr>
          <w:rFonts w:ascii="Times New Roman" w:hAnsi="Times New Roman" w:cs="Times New Roman"/>
          <w:sz w:val="24"/>
          <w:szCs w:val="24"/>
        </w:rPr>
        <w:t>Përfaqësues të ftuar në takimet e konsultimit parapërgatitore ishin institucione qendrore dhe vendore, institucione të pavarura dhe organizata të shoqërisë civile. (2 institucione te pavarura, Avokati i Popullit dhe Komisioneri për Mbrojtjen nga Diskriminimi, 6 OJF, 1 Organizatë ndërkombetare UNDP ).</w:t>
      </w:r>
    </w:p>
    <w:p w14:paraId="46416217" w14:textId="77777777" w:rsidR="003A5280" w:rsidRPr="000C2083" w:rsidRDefault="00FC3D8D" w:rsidP="000C2083">
      <w:pPr>
        <w:pStyle w:val="CommentText"/>
        <w:numPr>
          <w:ilvl w:val="0"/>
          <w:numId w:val="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>P</w:t>
      </w:r>
      <w:r w:rsidR="00191DC2" w:rsidRPr="000C2083">
        <w:rPr>
          <w:rFonts w:ascii="Times New Roman" w:hAnsi="Times New Roman" w:cs="Times New Roman"/>
          <w:sz w:val="24"/>
          <w:szCs w:val="24"/>
          <w:lang w:eastAsia="sl-SI"/>
        </w:rPr>
        <w:t>ë</w:t>
      </w:r>
      <w:r w:rsidRPr="000C2083">
        <w:rPr>
          <w:rFonts w:ascii="Times New Roman" w:hAnsi="Times New Roman" w:cs="Times New Roman"/>
          <w:sz w:val="24"/>
          <w:szCs w:val="24"/>
          <w:lang w:eastAsia="sl-SI"/>
        </w:rPr>
        <w:t xml:space="preserve">r projektligjin </w:t>
      </w:r>
      <w:r w:rsidRPr="000C2083">
        <w:rPr>
          <w:rFonts w:ascii="Times New Roman" w:hAnsi="Times New Roman" w:cs="Times New Roman"/>
          <w:sz w:val="24"/>
          <w:szCs w:val="24"/>
        </w:rPr>
        <w:t>Për disa shtesa dhe ndryshime në Ligjin Nr. 95/2015 "Për shërbimet dhe produktet Biocide në Shëndetin Publik, p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rf</w:t>
      </w:r>
      <w:r w:rsidR="00C93A5A" w:rsidRPr="000C2083">
        <w:rPr>
          <w:rFonts w:ascii="Times New Roman" w:hAnsi="Times New Roman" w:cs="Times New Roman"/>
          <w:sz w:val="24"/>
          <w:szCs w:val="24"/>
        </w:rPr>
        <w:t>a</w:t>
      </w:r>
      <w:r w:rsidRPr="000C2083">
        <w:rPr>
          <w:rFonts w:ascii="Times New Roman" w:hAnsi="Times New Roman" w:cs="Times New Roman"/>
          <w:sz w:val="24"/>
          <w:szCs w:val="24"/>
        </w:rPr>
        <w:t>q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sues t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 xml:space="preserve"> ftuar ishin nga Shoq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ria “Arli International”Shpk, përfaqësues nga shoqëria “Meldi” shpk, përfaqësues nga shoqëria “Air” shpk, përfaqësues nga shoqëria “2AT” shpk, përfaqësues nga shoqëria “NRG” shpk.</w:t>
      </w:r>
    </w:p>
    <w:p w14:paraId="4F614C1C" w14:textId="6D4E8F22" w:rsidR="00E44F9F" w:rsidRPr="00B84B35" w:rsidRDefault="00151ECC" w:rsidP="000C2083">
      <w:pPr>
        <w:pStyle w:val="CommentText"/>
        <w:numPr>
          <w:ilvl w:val="0"/>
          <w:numId w:val="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>P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r</w:t>
      </w:r>
      <w:r w:rsidR="003B4BC0" w:rsidRPr="000C2083">
        <w:rPr>
          <w:rFonts w:ascii="Times New Roman" w:hAnsi="Times New Roman" w:cs="Times New Roman"/>
          <w:sz w:val="24"/>
          <w:szCs w:val="24"/>
        </w:rPr>
        <w:t xml:space="preserve"> projektvendimin “P</w:t>
      </w:r>
      <w:r w:rsidR="000C2083" w:rsidRPr="000C2083">
        <w:rPr>
          <w:rFonts w:ascii="Times New Roman" w:hAnsi="Times New Roman" w:cs="Times New Roman"/>
          <w:sz w:val="24"/>
          <w:szCs w:val="24"/>
        </w:rPr>
        <w:t>ë</w:t>
      </w:r>
      <w:r w:rsidR="003B4BC0" w:rsidRPr="000C2083">
        <w:rPr>
          <w:rFonts w:ascii="Times New Roman" w:hAnsi="Times New Roman" w:cs="Times New Roman"/>
          <w:sz w:val="24"/>
          <w:szCs w:val="24"/>
        </w:rPr>
        <w:t>r miratimin e Strategjisë Kombëtare të Mbrojtjes Sociale 2024 – 2030 dhe të Planit</w:t>
      </w:r>
      <w:r w:rsidR="003A5280" w:rsidRPr="000C2083">
        <w:rPr>
          <w:rFonts w:ascii="Times New Roman" w:hAnsi="Times New Roman" w:cs="Times New Roman"/>
          <w:sz w:val="24"/>
          <w:szCs w:val="24"/>
        </w:rPr>
        <w:t xml:space="preserve">  të Veprimit në zbatim të sa</w:t>
      </w:r>
      <w:r w:rsidR="002E014F" w:rsidRPr="000C2083">
        <w:rPr>
          <w:rFonts w:ascii="Times New Roman" w:hAnsi="Times New Roman" w:cs="Times New Roman"/>
          <w:sz w:val="24"/>
          <w:szCs w:val="24"/>
        </w:rPr>
        <w:t>j”</w:t>
      </w:r>
      <w:r w:rsidR="003A5280" w:rsidRPr="000C2083">
        <w:rPr>
          <w:rFonts w:ascii="Times New Roman" w:hAnsi="Times New Roman" w:cs="Times New Roman"/>
          <w:sz w:val="24"/>
          <w:szCs w:val="24"/>
        </w:rPr>
        <w:t xml:space="preserve"> </w:t>
      </w:r>
      <w:r w:rsidR="003A5280" w:rsidRPr="000C2083">
        <w:rPr>
          <w:rFonts w:ascii="Times New Roman" w:hAnsi="Times New Roman" w:cs="Times New Roman"/>
          <w:color w:val="000000"/>
          <w:sz w:val="24"/>
          <w:szCs w:val="24"/>
        </w:rPr>
        <w:t>janë mbledhur komente nga takimet e drejtpërdrejta dhe nëpërmjet e-mailit z</w:t>
      </w:r>
      <w:r w:rsidR="00110F37" w:rsidRPr="000C2083">
        <w:rPr>
          <w:rFonts w:ascii="Times New Roman" w:hAnsi="Times New Roman" w:cs="Times New Roman"/>
          <w:color w:val="000000"/>
          <w:sz w:val="24"/>
          <w:szCs w:val="24"/>
        </w:rPr>
        <w:t xml:space="preserve">yrtar, kryesisht nga </w:t>
      </w:r>
      <w:r w:rsidR="003A5280" w:rsidRPr="000C2083">
        <w:rPr>
          <w:rFonts w:ascii="Times New Roman" w:hAnsi="Times New Roman" w:cs="Times New Roman"/>
          <w:color w:val="000000"/>
          <w:sz w:val="24"/>
          <w:szCs w:val="24"/>
        </w:rPr>
        <w:t>Qendra Alo Mik</w:t>
      </w:r>
      <w:r w:rsidR="00110F37" w:rsidRPr="000C20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A5280" w:rsidRPr="000C2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7D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A5280" w:rsidRPr="000C2083">
        <w:rPr>
          <w:rFonts w:ascii="Times New Roman" w:hAnsi="Times New Roman" w:cs="Times New Roman"/>
          <w:color w:val="000000"/>
          <w:sz w:val="24"/>
          <w:szCs w:val="24"/>
        </w:rPr>
        <w:t>orld Vision Albania</w:t>
      </w:r>
      <w:r w:rsidR="00110F37" w:rsidRPr="000C20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A5280" w:rsidRPr="000C2083">
        <w:rPr>
          <w:rFonts w:ascii="Times New Roman" w:hAnsi="Times New Roman" w:cs="Times New Roman"/>
          <w:color w:val="000000"/>
          <w:sz w:val="24"/>
          <w:szCs w:val="24"/>
        </w:rPr>
        <w:t xml:space="preserve"> Agjencitë e OKB-së</w:t>
      </w:r>
      <w:r w:rsidR="00110F37" w:rsidRPr="000C20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A5280" w:rsidRPr="000C2083">
        <w:rPr>
          <w:rFonts w:ascii="Times New Roman" w:hAnsi="Times New Roman" w:cs="Times New Roman"/>
          <w:color w:val="000000"/>
          <w:sz w:val="24"/>
          <w:szCs w:val="24"/>
        </w:rPr>
        <w:t>Bashkëpunimi Zvicerian për Zhvillim.</w:t>
      </w:r>
    </w:p>
    <w:p w14:paraId="2F6F2A37" w14:textId="77777777" w:rsidR="00E44F9F" w:rsidRPr="000C2083" w:rsidRDefault="00E44F9F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1A3CB7CA" w14:textId="075E37E0" w:rsidR="00445EE0" w:rsidRPr="00B84B35" w:rsidRDefault="00C85797" w:rsidP="000C2083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Cila ishte struktura e anëtarëve të jashtëm të grupeve të punës (ekspertë individualë, OSHC, kompani, etj.)</w:t>
      </w:r>
    </w:p>
    <w:p w14:paraId="4D06E8D5" w14:textId="77777777" w:rsidR="007E0B9A" w:rsidRPr="000C2083" w:rsidRDefault="007E0B9A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1A08FD" w14:textId="45E29B02" w:rsidR="00740BDC" w:rsidRPr="000C2083" w:rsidRDefault="007E0B9A" w:rsidP="000C2083">
      <w:p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Për hartimin e akteve të miratuara, të cilat i janë nënshtruar procesit të konsultimit publik, kanë kontribuar si anëtarë të jashtëm të grupeve të punës</w:t>
      </w:r>
      <w:r w:rsidR="00ED1373" w:rsidRPr="000C2083">
        <w:rPr>
          <w:rFonts w:ascii="Times New Roman" w:hAnsi="Times New Roman"/>
          <w:sz w:val="24"/>
          <w:szCs w:val="24"/>
          <w:lang w:val="sq-AL"/>
        </w:rPr>
        <w:t xml:space="preserve"> ekspert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ED1373" w:rsidRPr="000C208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ED1373" w:rsidRPr="000C2083">
        <w:rPr>
          <w:rFonts w:ascii="Times New Roman" w:hAnsi="Times New Roman"/>
          <w:sz w:val="24"/>
          <w:szCs w:val="24"/>
          <w:lang w:val="sq-AL"/>
        </w:rPr>
        <w:t xml:space="preserve"> jasht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ED1373" w:rsidRPr="000C2083">
        <w:rPr>
          <w:rFonts w:ascii="Times New Roman" w:hAnsi="Times New Roman"/>
          <w:sz w:val="24"/>
          <w:szCs w:val="24"/>
          <w:lang w:val="sq-AL"/>
        </w:rPr>
        <w:t xml:space="preserve">m nga  </w:t>
      </w:r>
      <w:r w:rsidR="00740BDC" w:rsidRPr="000C2083">
        <w:rPr>
          <w:rFonts w:ascii="Times New Roman" w:hAnsi="Times New Roman"/>
          <w:sz w:val="24"/>
          <w:szCs w:val="24"/>
          <w:lang w:val="sq-AL"/>
        </w:rPr>
        <w:t>PNUD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A5280" w:rsidRPr="008144CE">
        <w:rPr>
          <w:rFonts w:ascii="Times New Roman" w:hAnsi="Times New Roman"/>
          <w:sz w:val="24"/>
          <w:szCs w:val="24"/>
          <w:lang w:val="sq-AL"/>
        </w:rPr>
        <w:t>2institucione te pavarura, Avokati i Popullit dhe Komisioneri për Mbrojtjen nga Diskriminimi, OJF, 1Organizatë ndërkombetare UNDP.</w:t>
      </w:r>
    </w:p>
    <w:p w14:paraId="41D8EE9F" w14:textId="77777777" w:rsidR="00AF7486" w:rsidRPr="000C2083" w:rsidRDefault="00AF7486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00A7241C" w14:textId="449EB560" w:rsidR="00C85797" w:rsidRPr="000C2083" w:rsidRDefault="00C85797" w:rsidP="000C2083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palë të interesuara morën pjesë/dhanë komente në konsultime</w:t>
      </w:r>
      <w:r w:rsidR="002E014F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të 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hapura të realizuarapër projekt-aktet në vitin e caktuar?</w:t>
      </w:r>
    </w:p>
    <w:p w14:paraId="33C87C8E" w14:textId="77777777" w:rsidR="00ED1373" w:rsidRPr="000C2083" w:rsidRDefault="00ED1373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4A4B0A69" w14:textId="732D27BF" w:rsidR="00E44F9F" w:rsidRPr="000C2083" w:rsidRDefault="00E44F9F" w:rsidP="000C2083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konsultimin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r projektvendimin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“Për miratimin e Dokumentit të Politikave të </w:t>
      </w:r>
      <w:r w:rsidR="00ED1373" w:rsidRPr="000C2083">
        <w:rPr>
          <w:rFonts w:ascii="Times New Roman" w:hAnsi="Times New Roman"/>
          <w:sz w:val="24"/>
          <w:szCs w:val="24"/>
          <w:lang w:val="sq-AL"/>
        </w:rPr>
        <w:t xml:space="preserve">   </w:t>
      </w:r>
      <w:r w:rsidRPr="000C2083">
        <w:rPr>
          <w:rFonts w:ascii="Times New Roman" w:hAnsi="Times New Roman"/>
          <w:sz w:val="24"/>
          <w:szCs w:val="24"/>
          <w:lang w:val="sq-AL"/>
        </w:rPr>
        <w:t>Përfshirjes Sociale 2024-2028, moren pjese :</w:t>
      </w:r>
    </w:p>
    <w:p w14:paraId="5A791F6D" w14:textId="77777777" w:rsidR="00E44F9F" w:rsidRPr="000C2083" w:rsidRDefault="00E44F9F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08B85486" w14:textId="4822929C" w:rsidR="00ED1373" w:rsidRPr="000C2083" w:rsidRDefault="00E44F9F" w:rsidP="000C2083">
      <w:pPr>
        <w:pStyle w:val="CommentText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>Ministritë e linjës, (7), Ministria e  Drejtësisë, Ministria e Financave, Ministria e Brendshme, Ministria e Ekonomisë, Kulturës dhe Inovacionit,  Ministria e Arsimit dhe Sportit, Ministrisë së Shtetit për Fëmijën dhe të Rinjtë, Instituti i Statistikave Zyrtare,  Instituti i Statistikave (INSTAT), Agjencia për Mbështetjen e Vetëqeverisjes Vendore, Njësitë e Vetëqeverisjes Vendore si dhe institucionet e pavarura: Komisioneri Kundër Diskriminimit, Avokati i të Popullit</w:t>
      </w:r>
      <w:r w:rsidR="00ED1373" w:rsidRPr="000C2083">
        <w:rPr>
          <w:rFonts w:ascii="Times New Roman" w:hAnsi="Times New Roman" w:cs="Times New Roman"/>
          <w:sz w:val="24"/>
          <w:szCs w:val="24"/>
        </w:rPr>
        <w:t>. Përfaqësues të ftuar në takimet e konsultimit parapërgatitore ishin institucione qendrore dhe vendore, institucione të pavarura dhe organizata të shoqërisë civile. (2 institucione te pavarura, Avokati i Popullit dhe Komisioneri për Mbrojtjen nga Diskriminimi, 6 OJF, 1 Organizatë ndërkombetare UNDP ).</w:t>
      </w:r>
    </w:p>
    <w:p w14:paraId="6C50443A" w14:textId="77777777" w:rsidR="00ED1373" w:rsidRPr="000C2083" w:rsidRDefault="00ED1373" w:rsidP="000C2083">
      <w:pPr>
        <w:pStyle w:val="CommentText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1197D22C" w14:textId="323860D7" w:rsidR="008219F5" w:rsidRPr="000C2083" w:rsidRDefault="00ED1373" w:rsidP="000C2083">
      <w:pPr>
        <w:pStyle w:val="CommentText"/>
        <w:numPr>
          <w:ilvl w:val="0"/>
          <w:numId w:val="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>P</w:t>
      </w:r>
      <w:r w:rsidR="00191DC2" w:rsidRPr="000C2083">
        <w:rPr>
          <w:rFonts w:ascii="Times New Roman" w:hAnsi="Times New Roman" w:cs="Times New Roman"/>
          <w:sz w:val="24"/>
          <w:szCs w:val="24"/>
          <w:lang w:eastAsia="sl-SI"/>
        </w:rPr>
        <w:t>ë</w:t>
      </w:r>
      <w:r w:rsidRPr="000C2083">
        <w:rPr>
          <w:rFonts w:ascii="Times New Roman" w:hAnsi="Times New Roman" w:cs="Times New Roman"/>
          <w:sz w:val="24"/>
          <w:szCs w:val="24"/>
          <w:lang w:eastAsia="sl-SI"/>
        </w:rPr>
        <w:t xml:space="preserve">r projektligjin </w:t>
      </w:r>
      <w:r w:rsidRPr="000C2083">
        <w:rPr>
          <w:rFonts w:ascii="Times New Roman" w:hAnsi="Times New Roman" w:cs="Times New Roman"/>
          <w:sz w:val="24"/>
          <w:szCs w:val="24"/>
        </w:rPr>
        <w:t>Për disa shtesa dhe ndryshime në Ligjin Nr. 95/2015 "Për shërbimet dhe produktet Biocide në Shëndetin Publik, p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rfaq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sues t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 xml:space="preserve"> ftuar ishin nga </w:t>
      </w:r>
      <w:r w:rsidR="00596A4D" w:rsidRPr="000C2083">
        <w:rPr>
          <w:rFonts w:ascii="Times New Roman" w:hAnsi="Times New Roman" w:cs="Times New Roman"/>
          <w:sz w:val="24"/>
          <w:szCs w:val="24"/>
        </w:rPr>
        <w:t>Ministria e Bujq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596A4D" w:rsidRPr="000C2083">
        <w:rPr>
          <w:rFonts w:ascii="Times New Roman" w:hAnsi="Times New Roman" w:cs="Times New Roman"/>
          <w:sz w:val="24"/>
          <w:szCs w:val="24"/>
        </w:rPr>
        <w:t>sis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2A4BCE" w:rsidRPr="000C2083">
        <w:rPr>
          <w:rFonts w:ascii="Times New Roman" w:hAnsi="Times New Roman" w:cs="Times New Roman"/>
          <w:sz w:val="24"/>
          <w:szCs w:val="24"/>
        </w:rPr>
        <w:t>, Ministria e Turizmit , Agjenica Komb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2A4BCE" w:rsidRPr="000C2083">
        <w:rPr>
          <w:rFonts w:ascii="Times New Roman" w:hAnsi="Times New Roman" w:cs="Times New Roman"/>
          <w:sz w:val="24"/>
          <w:szCs w:val="24"/>
        </w:rPr>
        <w:t xml:space="preserve">tare  e Mjedisit, ISHP, dhe </w:t>
      </w:r>
      <w:r w:rsidRPr="000C2083">
        <w:rPr>
          <w:rFonts w:ascii="Times New Roman" w:hAnsi="Times New Roman" w:cs="Times New Roman"/>
          <w:sz w:val="24"/>
          <w:szCs w:val="24"/>
        </w:rPr>
        <w:t>Shoq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 xml:space="preserve">ria “Arli International”Shpk, përfaqësues nga shoqëria “Meldi” shpk, përfaqësues nga shoqëria “Air” shpk, përfaqësues nga shoqëria “2AT” shpk, përfaqësues nga shoqëria “NRG” shpk. </w:t>
      </w:r>
    </w:p>
    <w:p w14:paraId="0F3A347D" w14:textId="22A22448" w:rsidR="00FC6E2F" w:rsidRPr="000C2083" w:rsidRDefault="008219F5" w:rsidP="000C2083">
      <w:pPr>
        <w:pStyle w:val="CommentText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>P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rojektligji 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>sht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 p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>rcjell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 p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>r mendim n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 Ministrin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 e Drejt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>sis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, </w:t>
      </w:r>
      <w:r w:rsidR="00ED1373" w:rsidRPr="000C2083">
        <w:rPr>
          <w:rFonts w:ascii="Times New Roman" w:hAnsi="Times New Roman" w:cs="Times New Roman"/>
          <w:sz w:val="24"/>
          <w:szCs w:val="24"/>
        </w:rPr>
        <w:t xml:space="preserve"> Ministri</w:t>
      </w:r>
      <w:r w:rsidR="00F45AFC" w:rsidRPr="000C2083">
        <w:rPr>
          <w:rFonts w:ascii="Times New Roman" w:hAnsi="Times New Roman" w:cs="Times New Roman"/>
          <w:sz w:val="24"/>
          <w:szCs w:val="24"/>
        </w:rPr>
        <w:t>n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 xml:space="preserve"> e Bujq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F45AFC" w:rsidRPr="000C2083">
        <w:rPr>
          <w:rFonts w:ascii="Times New Roman" w:hAnsi="Times New Roman" w:cs="Times New Roman"/>
          <w:sz w:val="24"/>
          <w:szCs w:val="24"/>
        </w:rPr>
        <w:t>sis</w:t>
      </w:r>
      <w:r w:rsidR="00191DC2" w:rsidRPr="000C2083">
        <w:rPr>
          <w:rFonts w:ascii="Times New Roman" w:hAnsi="Times New Roman" w:cs="Times New Roman"/>
          <w:sz w:val="24"/>
          <w:szCs w:val="24"/>
        </w:rPr>
        <w:t>ë</w:t>
      </w:r>
      <w:r w:rsidR="000A6F30" w:rsidRPr="000C2083">
        <w:rPr>
          <w:rFonts w:ascii="Times New Roman" w:hAnsi="Times New Roman" w:cs="Times New Roman"/>
          <w:sz w:val="24"/>
          <w:szCs w:val="24"/>
        </w:rPr>
        <w:t>,</w:t>
      </w:r>
      <w:r w:rsidR="00FC6E2F" w:rsidRPr="000C2083">
        <w:rPr>
          <w:rFonts w:ascii="Times New Roman" w:hAnsi="Times New Roman" w:cs="Times New Roman"/>
          <w:sz w:val="24"/>
          <w:szCs w:val="24"/>
        </w:rPr>
        <w:t xml:space="preserve"> Ministrine e Financ</w:t>
      </w:r>
      <w:r w:rsidR="002A4BCE" w:rsidRPr="000C2083">
        <w:rPr>
          <w:rFonts w:ascii="Times New Roman" w:hAnsi="Times New Roman" w:cs="Times New Roman"/>
          <w:sz w:val="24"/>
          <w:szCs w:val="24"/>
        </w:rPr>
        <w:t>a</w:t>
      </w:r>
      <w:r w:rsidR="00FC6E2F" w:rsidRPr="000C2083">
        <w:rPr>
          <w:rFonts w:ascii="Times New Roman" w:hAnsi="Times New Roman" w:cs="Times New Roman"/>
          <w:sz w:val="24"/>
          <w:szCs w:val="24"/>
        </w:rPr>
        <w:t>ve dhe Ministrine e Mjedisit dhe Turizmit.</w:t>
      </w:r>
    </w:p>
    <w:p w14:paraId="228F5FDD" w14:textId="57E88B70" w:rsidR="00ED1373" w:rsidRPr="000C2083" w:rsidRDefault="00185564" w:rsidP="000C2083">
      <w:pPr>
        <w:pStyle w:val="CommentText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05ACF" w14:textId="12848ECD" w:rsidR="00E44F9F" w:rsidRPr="00083A62" w:rsidRDefault="002E014F" w:rsidP="000C2083">
      <w:pPr>
        <w:pStyle w:val="CommentText"/>
        <w:numPr>
          <w:ilvl w:val="0"/>
          <w:numId w:val="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83">
        <w:rPr>
          <w:rFonts w:ascii="Times New Roman" w:hAnsi="Times New Roman" w:cs="Times New Roman"/>
          <w:sz w:val="24"/>
          <w:szCs w:val="24"/>
        </w:rPr>
        <w:t>Për projektvendimin “P</w:t>
      </w:r>
      <w:r w:rsidR="000C2083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>r miratimin e Strategjisë Kombëtare të Mbrojtjes Sociale 2024 – 2030 dhe të Planit  të Veprimit në zbatim të saj” ka marr</w:t>
      </w:r>
      <w:r w:rsidR="000C2083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 xml:space="preserve"> 2322 shikime n</w:t>
      </w:r>
      <w:r w:rsidR="000C2083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 xml:space="preserve"> RENJKP, si dhe ka marr</w:t>
      </w:r>
      <w:r w:rsidR="000C2083" w:rsidRPr="000C2083">
        <w:rPr>
          <w:rFonts w:ascii="Times New Roman" w:hAnsi="Times New Roman" w:cs="Times New Roman"/>
          <w:sz w:val="24"/>
          <w:szCs w:val="24"/>
        </w:rPr>
        <w:t>ë</w:t>
      </w:r>
      <w:r w:rsidRPr="000C2083">
        <w:rPr>
          <w:rFonts w:ascii="Times New Roman" w:hAnsi="Times New Roman" w:cs="Times New Roman"/>
          <w:sz w:val="24"/>
          <w:szCs w:val="24"/>
        </w:rPr>
        <w:t xml:space="preserve"> komente nga 4 kontribues.</w:t>
      </w:r>
    </w:p>
    <w:p w14:paraId="22BFDC1E" w14:textId="77777777" w:rsidR="00E44F9F" w:rsidRPr="000C2083" w:rsidRDefault="00E44F9F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2720F1B5" w14:textId="77777777" w:rsidR="00C85797" w:rsidRPr="000C2083" w:rsidRDefault="00C85797" w:rsidP="000C2083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Cila ishte struktura e kontribuesve në konsultimet publike, sa persona, sa persona juridikë (ndërmarrje, shoqata, etj.)?</w:t>
      </w:r>
    </w:p>
    <w:p w14:paraId="09C809AC" w14:textId="77777777" w:rsidR="001176A0" w:rsidRPr="000C2083" w:rsidRDefault="001176A0" w:rsidP="000C2083">
      <w:pPr>
        <w:shd w:val="clear" w:color="auto" w:fill="FFFFFF"/>
        <w:tabs>
          <w:tab w:val="left" w:pos="567"/>
        </w:tabs>
        <w:spacing w:line="276" w:lineRule="auto"/>
        <w:ind w:left="41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759CC1EB" w14:textId="77777777" w:rsidR="00C83FB0" w:rsidRPr="000C2083" w:rsidRDefault="0059478C" w:rsidP="000C2083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r projektvendimin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Pr="000C2083">
        <w:rPr>
          <w:rFonts w:ascii="Times New Roman" w:hAnsi="Times New Roman"/>
          <w:sz w:val="24"/>
          <w:szCs w:val="24"/>
          <w:lang w:val="sq-AL"/>
        </w:rPr>
        <w:t>“Për miratimin e Dokumentit të Politikave të Përfshirjes Sociale 2024-2028</w:t>
      </w:r>
      <w:r w:rsidR="001176A0" w:rsidRPr="000C2083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1C3A76" w:rsidRPr="000C2083">
        <w:rPr>
          <w:rFonts w:ascii="Times New Roman" w:hAnsi="Times New Roman"/>
          <w:sz w:val="24"/>
          <w:szCs w:val="24"/>
          <w:lang w:val="sq-AL" w:eastAsia="sl-SI"/>
        </w:rPr>
        <w:t>I</w:t>
      </w:r>
      <w:r w:rsidR="001C3A76" w:rsidRPr="000C2083">
        <w:rPr>
          <w:rFonts w:ascii="Times New Roman" w:hAnsi="Times New Roman"/>
          <w:sz w:val="24"/>
          <w:szCs w:val="24"/>
          <w:lang w:val="sq-AL"/>
        </w:rPr>
        <w:t>nstitucione të pavarura dhe organizata të shoqërisë civile. (2 institucione te pavarura, Avokati i Popullit dhe Komisioneri për Mbrojtjen nga Diskriminimi,  6 OJF, 1 Organizatë ndërkombetare UNDP ).</w:t>
      </w:r>
    </w:p>
    <w:p w14:paraId="38A4CA9F" w14:textId="25CB3C94" w:rsidR="00C83FB0" w:rsidRPr="000C2083" w:rsidRDefault="001176A0" w:rsidP="000C2083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144CE">
        <w:rPr>
          <w:rFonts w:ascii="Times New Roman" w:hAnsi="Times New Roman"/>
          <w:sz w:val="24"/>
          <w:szCs w:val="24"/>
          <w:lang w:val="sq-AL"/>
        </w:rPr>
        <w:t>P</w:t>
      </w:r>
      <w:r w:rsidR="00191DC2" w:rsidRPr="008144CE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8144CE">
        <w:rPr>
          <w:rFonts w:ascii="Times New Roman" w:hAnsi="Times New Roman"/>
          <w:sz w:val="24"/>
          <w:szCs w:val="24"/>
          <w:lang w:val="sq-AL" w:eastAsia="sl-SI"/>
        </w:rPr>
        <w:t xml:space="preserve">r projektligjin </w:t>
      </w:r>
      <w:r w:rsidR="00C83FB0" w:rsidRPr="008144CE">
        <w:rPr>
          <w:rFonts w:ascii="Times New Roman" w:hAnsi="Times New Roman"/>
          <w:sz w:val="24"/>
          <w:szCs w:val="24"/>
          <w:lang w:val="sq-AL" w:eastAsia="sl-SI"/>
        </w:rPr>
        <w:t>“</w:t>
      </w:r>
      <w:r w:rsidRPr="008144CE">
        <w:rPr>
          <w:rFonts w:ascii="Times New Roman" w:hAnsi="Times New Roman"/>
          <w:sz w:val="24"/>
          <w:szCs w:val="24"/>
          <w:lang w:val="sq-AL"/>
        </w:rPr>
        <w:t>Për disa shtesa dhe ndryshime në Ligjin Nr. 95/2015 "Për shërbimet dhe produktet Biocide në Shëndetin Publik</w:t>
      </w:r>
      <w:r w:rsidR="00C83FB0" w:rsidRPr="008144CE">
        <w:rPr>
          <w:rFonts w:ascii="Times New Roman" w:hAnsi="Times New Roman"/>
          <w:sz w:val="24"/>
          <w:szCs w:val="24"/>
          <w:lang w:val="sq-AL"/>
        </w:rPr>
        <w:t>”</w:t>
      </w:r>
      <w:r w:rsidRPr="008144CE">
        <w:rPr>
          <w:rFonts w:ascii="Times New Roman" w:hAnsi="Times New Roman"/>
          <w:sz w:val="24"/>
          <w:szCs w:val="24"/>
          <w:lang w:val="sq-AL"/>
        </w:rPr>
        <w:t>, p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rfaq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sues t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 xml:space="preserve"> ftuar ishin nga Ministria e Bujq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sis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="00C83FB0" w:rsidRPr="008144CE">
        <w:rPr>
          <w:rFonts w:ascii="Times New Roman" w:hAnsi="Times New Roman"/>
          <w:sz w:val="24"/>
          <w:szCs w:val="24"/>
          <w:lang w:val="sq-AL"/>
        </w:rPr>
        <w:t>, Ministria e Turizmit</w:t>
      </w:r>
      <w:r w:rsidRPr="008144CE">
        <w:rPr>
          <w:rFonts w:ascii="Times New Roman" w:hAnsi="Times New Roman"/>
          <w:sz w:val="24"/>
          <w:szCs w:val="24"/>
          <w:lang w:val="sq-AL"/>
        </w:rPr>
        <w:t>, Agjenica Komb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="00C83FB0" w:rsidRPr="008144CE">
        <w:rPr>
          <w:rFonts w:ascii="Times New Roman" w:hAnsi="Times New Roman"/>
          <w:sz w:val="24"/>
          <w:szCs w:val="24"/>
          <w:lang w:val="sq-AL"/>
        </w:rPr>
        <w:t>tare</w:t>
      </w:r>
      <w:r w:rsidRPr="008144CE">
        <w:rPr>
          <w:rFonts w:ascii="Times New Roman" w:hAnsi="Times New Roman"/>
          <w:sz w:val="24"/>
          <w:szCs w:val="24"/>
          <w:lang w:val="sq-AL"/>
        </w:rPr>
        <w:t xml:space="preserve"> e Mjedisit, ISHP, dhe Shoq</w:t>
      </w:r>
      <w:r w:rsidR="00191DC2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 xml:space="preserve">ria “Arli International”Shpk, përfaqësues nga shoqëria “Meldi” shpk, përfaqësues nga shoqëria “Air” shpk, përfaqësues nga shoqëria “2AT” shpk, përfaqësues nga shoqëria “NRG” shpk. </w:t>
      </w:r>
    </w:p>
    <w:p w14:paraId="00DFC8AB" w14:textId="6B1C3D0F" w:rsidR="00C83FB0" w:rsidRPr="000C2083" w:rsidRDefault="00110F37" w:rsidP="000C2083">
      <w:pPr>
        <w:pStyle w:val="ListParagraph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144CE">
        <w:rPr>
          <w:rFonts w:ascii="Times New Roman" w:hAnsi="Times New Roman"/>
          <w:sz w:val="24"/>
          <w:szCs w:val="24"/>
          <w:lang w:val="sq-AL"/>
        </w:rPr>
        <w:t>Për projektvendimin “P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r miratimin e Strategjisë Kombëtare të Mbrojtjes Sociale 2024 – 2030 dhe të Planit të Veprimit në zbatim të saj” kan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n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 xml:space="preserve"> kontribut</w:t>
      </w:r>
      <w:r w:rsidR="00D578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144CE">
        <w:rPr>
          <w:rFonts w:ascii="Times New Roman" w:hAnsi="Times New Roman"/>
          <w:sz w:val="24"/>
          <w:szCs w:val="24"/>
          <w:lang w:val="sq-AL"/>
        </w:rPr>
        <w:t>dy  organizata nd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rkomb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tare dhe nj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 xml:space="preserve"> fondacion. </w:t>
      </w:r>
    </w:p>
    <w:p w14:paraId="322A3C9D" w14:textId="77777777" w:rsidR="001C3A76" w:rsidRPr="000C2083" w:rsidRDefault="001C3A76" w:rsidP="000C2083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35E574B0" w14:textId="77777777" w:rsidR="00C85797" w:rsidRPr="000C2083" w:rsidRDefault="00C85797" w:rsidP="000C2083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A është përmirësuar situata në krahasim me vitet e kaluara?</w:t>
      </w:r>
    </w:p>
    <w:p w14:paraId="531BE513" w14:textId="77777777" w:rsidR="00D07C28" w:rsidRPr="000C2083" w:rsidRDefault="00D07C28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4E75F8EC" w14:textId="749D8EB3" w:rsidR="00184DD0" w:rsidRPr="000C2083" w:rsidRDefault="00D07C28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Ministria e Sh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ndet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sis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dhe Mbrojtjes Sociale</w:t>
      </w:r>
      <w:r w:rsidR="0059478C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e vlereson 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59478C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p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59478C" w:rsidRPr="000C2083">
        <w:rPr>
          <w:rFonts w:ascii="Times New Roman" w:hAnsi="Times New Roman"/>
          <w:iCs/>
          <w:sz w:val="24"/>
          <w:szCs w:val="24"/>
          <w:lang w:val="sq-AL" w:eastAsia="sl-SI"/>
        </w:rPr>
        <w:t>rmir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59478C" w:rsidRPr="000C2083">
        <w:rPr>
          <w:rFonts w:ascii="Times New Roman" w:hAnsi="Times New Roman"/>
          <w:iCs/>
          <w:sz w:val="24"/>
          <w:szCs w:val="24"/>
          <w:lang w:val="sq-AL" w:eastAsia="sl-SI"/>
        </w:rPr>
        <w:t>suar situat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59478C" w:rsidRPr="000C2083">
        <w:rPr>
          <w:rFonts w:ascii="Times New Roman" w:hAnsi="Times New Roman"/>
          <w:iCs/>
          <w:sz w:val="24"/>
          <w:szCs w:val="24"/>
          <w:lang w:val="sq-AL" w:eastAsia="sl-SI"/>
        </w:rPr>
        <w:t>n n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krahasim me vitet e kaluara, pasi pjesëmarrja n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procesin e konsultimit ka q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n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m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e lart</w:t>
      </w:r>
      <w:r w:rsidR="000C2083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.</w:t>
      </w:r>
    </w:p>
    <w:p w14:paraId="3EBA514D" w14:textId="77777777" w:rsidR="00C85797" w:rsidRPr="000C2083" w:rsidRDefault="00C85797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0CCDD28A" w14:textId="77777777" w:rsidR="00C85797" w:rsidRPr="000C2083" w:rsidRDefault="00C85797" w:rsidP="000C2083">
      <w:pPr>
        <w:pStyle w:val="ListParagraph"/>
        <w:numPr>
          <w:ilvl w:val="1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i/>
          <w:iCs/>
          <w:sz w:val="24"/>
          <w:szCs w:val="24"/>
          <w:lang w:val="sq-AL" w:eastAsia="sl-SI"/>
        </w:rPr>
        <w:t xml:space="preserve"> Rekomandimet dhe komentet e marra</w:t>
      </w:r>
    </w:p>
    <w:p w14:paraId="4F12AA42" w14:textId="77777777" w:rsidR="00C85797" w:rsidRPr="000C2083" w:rsidRDefault="00C85797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është numri i rekomandimeve dhe komenteve të marra gjithsej dhe mesatarja për çdo konsultim?</w:t>
      </w:r>
    </w:p>
    <w:p w14:paraId="7E997B18" w14:textId="77777777" w:rsidR="002E3A16" w:rsidRPr="000C2083" w:rsidRDefault="002E3A16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04A00961" w14:textId="77777777" w:rsidR="002E3A16" w:rsidRPr="000C2083" w:rsidRDefault="00740BDC" w:rsidP="000C2083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Numri i shikimeve në RENJKP për projekt</w:t>
      </w:r>
      <w:r w:rsidR="001C3A76" w:rsidRPr="000C2083">
        <w:rPr>
          <w:rFonts w:ascii="Times New Roman" w:hAnsi="Times New Roman"/>
          <w:sz w:val="24"/>
          <w:szCs w:val="24"/>
          <w:lang w:val="sq-AL"/>
        </w:rPr>
        <w:t>in “Për miratimin e Dokumentit të Politikave të Përfshirjes Sociale 2024-2028”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 është klikime/shikime 895 dhe  në platformë nuk ka komente. </w:t>
      </w:r>
    </w:p>
    <w:p w14:paraId="773A262E" w14:textId="77777777" w:rsidR="002E3A16" w:rsidRPr="000C2083" w:rsidRDefault="003B0817" w:rsidP="000C2083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Numri i shikimeve n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 RENJKP për projektligjin  Për disa shtesa dhe ndryshime në Ligjin Nr. 95/2015 "Për shërbimet dhe produktet Biocide në Shëndetin Publik</w:t>
      </w:r>
      <w:r w:rsidR="00936AF2" w:rsidRPr="000C2083">
        <w:rPr>
          <w:rFonts w:ascii="Times New Roman" w:hAnsi="Times New Roman"/>
          <w:sz w:val="24"/>
          <w:szCs w:val="24"/>
          <w:lang w:val="sq-AL"/>
        </w:rPr>
        <w:t xml:space="preserve">” 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936AF2" w:rsidRPr="000C2083">
        <w:rPr>
          <w:rFonts w:ascii="Times New Roman" w:hAnsi="Times New Roman"/>
          <w:sz w:val="24"/>
          <w:szCs w:val="24"/>
          <w:lang w:val="sq-AL"/>
        </w:rPr>
        <w:t>sht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936AF2" w:rsidRPr="000C2083">
        <w:rPr>
          <w:rFonts w:ascii="Times New Roman" w:hAnsi="Times New Roman"/>
          <w:sz w:val="24"/>
          <w:szCs w:val="24"/>
          <w:lang w:val="sq-AL"/>
        </w:rPr>
        <w:t xml:space="preserve">  klikime/shikime  </w:t>
      </w:r>
      <w:r w:rsidR="00151ECC" w:rsidRPr="000C2083">
        <w:rPr>
          <w:rFonts w:ascii="Times New Roman" w:hAnsi="Times New Roman"/>
          <w:sz w:val="24"/>
          <w:szCs w:val="24"/>
          <w:lang w:val="sq-AL"/>
        </w:rPr>
        <w:t xml:space="preserve">367 </w:t>
      </w:r>
      <w:r w:rsidR="00936AF2" w:rsidRPr="000C2083">
        <w:rPr>
          <w:rFonts w:ascii="Times New Roman" w:hAnsi="Times New Roman"/>
          <w:sz w:val="24"/>
          <w:szCs w:val="24"/>
          <w:lang w:val="sq-AL"/>
        </w:rPr>
        <w:t xml:space="preserve"> dhe nuk ka komente. </w:t>
      </w:r>
    </w:p>
    <w:p w14:paraId="177263FB" w14:textId="7FB1E802" w:rsidR="00740BDC" w:rsidRPr="000C2083" w:rsidRDefault="00F14042" w:rsidP="000C2083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Numri i shikimeve 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RENJKP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r </w:t>
      </w:r>
      <w:r w:rsidR="002E3A16" w:rsidRPr="008144CE">
        <w:rPr>
          <w:rFonts w:ascii="Times New Roman" w:hAnsi="Times New Roman"/>
          <w:sz w:val="24"/>
          <w:szCs w:val="24"/>
          <w:lang w:val="sq-AL"/>
        </w:rPr>
        <w:t>projektvendimin “P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="002E3A16" w:rsidRPr="008144CE">
        <w:rPr>
          <w:rFonts w:ascii="Times New Roman" w:hAnsi="Times New Roman"/>
          <w:sz w:val="24"/>
          <w:szCs w:val="24"/>
          <w:lang w:val="sq-AL"/>
        </w:rPr>
        <w:t>r miratimin e Strategjisë Kombëtare të Mbrojtjes Sociale 2024 – 2030 dhe të Planit  të Veprimit në zbatim të saj”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” 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sht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klikime</w:t>
      </w:r>
      <w:r w:rsidR="00151ECC" w:rsidRPr="000C2083">
        <w:rPr>
          <w:rFonts w:ascii="Times New Roman" w:hAnsi="Times New Roman"/>
          <w:sz w:val="24"/>
          <w:szCs w:val="24"/>
          <w:lang w:val="sq-AL" w:eastAsia="sl-SI"/>
        </w:rPr>
        <w:t>/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shikime  2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>322,</w:t>
      </w:r>
      <w:r w:rsidR="00151ECC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>nj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koment n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RENJKP dhe </w:t>
      </w:r>
      <w:r w:rsidR="00A80F48" w:rsidRPr="000C2083">
        <w:rPr>
          <w:rFonts w:ascii="Times New Roman" w:hAnsi="Times New Roman"/>
          <w:sz w:val="24"/>
          <w:szCs w:val="24"/>
          <w:lang w:val="sq-AL" w:eastAsia="sl-SI"/>
        </w:rPr>
        <w:t>29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komente n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>p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>rmjet tryezave t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2E3A1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konsultimit dhe emailit.</w:t>
      </w:r>
    </w:p>
    <w:p w14:paraId="35B98BFB" w14:textId="77777777" w:rsidR="00151ECC" w:rsidRPr="000C2083" w:rsidRDefault="00151ECC" w:rsidP="000C2083">
      <w:pPr>
        <w:shd w:val="clear" w:color="auto" w:fill="FFFFFF"/>
        <w:tabs>
          <w:tab w:val="left" w:pos="567"/>
        </w:tabs>
        <w:spacing w:line="276" w:lineRule="auto"/>
        <w:ind w:left="77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1A1A93AD" w14:textId="77777777" w:rsidR="00C85797" w:rsidRPr="000C2083" w:rsidRDefault="00C85797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prej tyre u pranuan, u pranuan pjesërisht ose u refuzuan?</w:t>
      </w:r>
    </w:p>
    <w:p w14:paraId="33C6F7DD" w14:textId="77777777" w:rsidR="00FC3D8D" w:rsidRPr="000C2083" w:rsidRDefault="00FC3D8D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31E137D9" w14:textId="0B7EABB8" w:rsidR="001C3A76" w:rsidRPr="000C2083" w:rsidRDefault="00FC3D8D" w:rsidP="000C2083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1.</w:t>
      </w:r>
      <w:r w:rsidR="0059478C" w:rsidRPr="000C2083">
        <w:rPr>
          <w:rFonts w:ascii="Times New Roman" w:hAnsi="Times New Roman"/>
          <w:sz w:val="24"/>
          <w:szCs w:val="24"/>
          <w:lang w:val="sq-AL" w:eastAsia="sl-SI"/>
        </w:rPr>
        <w:t>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59478C" w:rsidRPr="000C2083">
        <w:rPr>
          <w:rFonts w:ascii="Times New Roman" w:hAnsi="Times New Roman"/>
          <w:sz w:val="24"/>
          <w:szCs w:val="24"/>
          <w:lang w:val="sq-AL" w:eastAsia="sl-SI"/>
        </w:rPr>
        <w:t>r projektvendimin</w:t>
      </w:r>
      <w:r w:rsidR="0059478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="0059478C" w:rsidRPr="000C2083">
        <w:rPr>
          <w:rFonts w:ascii="Times New Roman" w:hAnsi="Times New Roman"/>
          <w:sz w:val="24"/>
          <w:szCs w:val="24"/>
          <w:lang w:val="sq-AL"/>
        </w:rPr>
        <w:t xml:space="preserve">“Për miratimin e Dokumentit të Politikave të Përfshirjes Sociale 2024-2028”, </w:t>
      </w:r>
      <w:r w:rsidR="001C3A76" w:rsidRPr="000C2083">
        <w:rPr>
          <w:rFonts w:ascii="Times New Roman" w:hAnsi="Times New Roman"/>
          <w:sz w:val="24"/>
          <w:szCs w:val="24"/>
          <w:lang w:val="sq-AL"/>
        </w:rPr>
        <w:t xml:space="preserve">Komentet dhe sugjerimet e marra gjatë takimeve, edhe më pas me shkrim nga institucione qendrore dhe vendore, organizata të shoqërisë civile si dhe nga organizata ndërkombëtare, janë pranuar 3 dhe reflektuar në draft dokument krejtësisht, me përjashtim të sugjerimit për ngritjen e një shoqate për gratë ushtarake, i cili u refuzua. </w:t>
      </w:r>
    </w:p>
    <w:p w14:paraId="28C82F60" w14:textId="77777777" w:rsidR="00A80F48" w:rsidRPr="000C2083" w:rsidRDefault="00FC3D8D" w:rsidP="000C2083">
      <w:pPr>
        <w:spacing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0C2083">
        <w:rPr>
          <w:rFonts w:ascii="Times New Roman" w:hAnsi="Times New Roman"/>
          <w:sz w:val="24"/>
          <w:szCs w:val="24"/>
          <w:lang w:val="sq-AL"/>
        </w:rPr>
        <w:t>2. P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Pr="000C2083">
        <w:rPr>
          <w:rFonts w:ascii="Times New Roman" w:hAnsi="Times New Roman"/>
          <w:sz w:val="24"/>
          <w:szCs w:val="24"/>
          <w:lang w:val="sq-AL"/>
        </w:rPr>
        <w:t xml:space="preserve">r projektligjin </w:t>
      </w:r>
      <w:r w:rsidR="00151ECC" w:rsidRPr="000C2083">
        <w:rPr>
          <w:rFonts w:ascii="Times New Roman" w:hAnsi="Times New Roman"/>
          <w:sz w:val="24"/>
          <w:szCs w:val="24"/>
          <w:lang w:val="sq-AL"/>
        </w:rPr>
        <w:t>Për disa shtesa dhe ndryshime në Ligjin Nr. 95/2015 "Për shërbimet dhe produktet Biocide në Shëndetin Publik</w:t>
      </w:r>
      <w:r w:rsidR="003E6E82" w:rsidRPr="000C2083">
        <w:rPr>
          <w:rFonts w:ascii="Times New Roman" w:hAnsi="Times New Roman"/>
          <w:sz w:val="24"/>
          <w:szCs w:val="24"/>
          <w:lang w:val="sq-AL"/>
        </w:rPr>
        <w:t xml:space="preserve"> komentet dhe sugjerimet e marra gjat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3E6E82" w:rsidRPr="000C2083">
        <w:rPr>
          <w:rFonts w:ascii="Times New Roman" w:hAnsi="Times New Roman"/>
          <w:sz w:val="24"/>
          <w:szCs w:val="24"/>
          <w:lang w:val="sq-AL"/>
        </w:rPr>
        <w:t xml:space="preserve"> takimeve, edhe m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3E6E82" w:rsidRPr="000C2083">
        <w:rPr>
          <w:rFonts w:ascii="Times New Roman" w:hAnsi="Times New Roman"/>
          <w:sz w:val="24"/>
          <w:szCs w:val="24"/>
          <w:lang w:val="sq-AL"/>
        </w:rPr>
        <w:t xml:space="preserve"> pas me shkrim nga </w:t>
      </w:r>
      <w:r w:rsidR="006437A2" w:rsidRPr="000C208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6437A2" w:rsidRPr="000C2083">
        <w:rPr>
          <w:rFonts w:ascii="Times New Roman" w:hAnsi="Times New Roman"/>
          <w:sz w:val="24"/>
          <w:szCs w:val="24"/>
          <w:lang w:val="sq-AL"/>
        </w:rPr>
        <w:t>rfaq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6437A2" w:rsidRPr="000C2083">
        <w:rPr>
          <w:rFonts w:ascii="Times New Roman" w:hAnsi="Times New Roman"/>
          <w:sz w:val="24"/>
          <w:szCs w:val="24"/>
          <w:lang w:val="sq-AL"/>
        </w:rPr>
        <w:t>suesit e shoq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6437A2" w:rsidRPr="000C2083">
        <w:rPr>
          <w:rFonts w:ascii="Times New Roman" w:hAnsi="Times New Roman"/>
          <w:sz w:val="24"/>
          <w:szCs w:val="24"/>
          <w:lang w:val="sq-AL"/>
        </w:rPr>
        <w:t>rive  “Arli International”Shpk, përfaqësues nga shoqëria “Meldi” shpk, përfaqësues nga shoqëria “Air” shpk, përfaqësues nga shoqëria “2AT” shpk, përfaqësues nga shoqëria “NRG” shpk</w:t>
      </w:r>
      <w:r w:rsidR="00C7243A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>, nga ana e MSHMS-s</w:t>
      </w:r>
      <w:r w:rsidR="00191DC2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C4691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per komentet e ardhura nga grupet e interesit </w:t>
      </w:r>
      <w:r w:rsidR="00C7243A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jan</w:t>
      </w:r>
      <w:r w:rsidR="00191DC2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7243A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pranuar 2 komente dhe 1 eshte refuzuar.</w:t>
      </w:r>
      <w:r w:rsidR="000C4691"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Gjithashtu </w:t>
      </w:r>
      <w:r w:rsidR="000C4691" w:rsidRPr="000C2083">
        <w:rPr>
          <w:rFonts w:ascii="Times New Roman" w:hAnsi="Times New Roman"/>
          <w:sz w:val="24"/>
          <w:szCs w:val="24"/>
          <w:lang w:val="sq-AL"/>
        </w:rPr>
        <w:t>kan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0C4691" w:rsidRPr="000C2083">
        <w:rPr>
          <w:rFonts w:ascii="Times New Roman" w:hAnsi="Times New Roman"/>
          <w:sz w:val="24"/>
          <w:szCs w:val="24"/>
          <w:lang w:val="sq-AL"/>
        </w:rPr>
        <w:t xml:space="preserve"> ardhur shum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0C4691" w:rsidRPr="000C2083">
        <w:rPr>
          <w:rFonts w:ascii="Times New Roman" w:hAnsi="Times New Roman"/>
          <w:sz w:val="24"/>
          <w:szCs w:val="24"/>
          <w:lang w:val="sq-AL"/>
        </w:rPr>
        <w:t xml:space="preserve"> komente me email dhe shkres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>ë</w:t>
      </w:r>
      <w:r w:rsidR="000C4691" w:rsidRPr="000C2083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191DC2" w:rsidRPr="000C2083">
        <w:rPr>
          <w:rFonts w:ascii="Times New Roman" w:hAnsi="Times New Roman"/>
          <w:sz w:val="24"/>
          <w:szCs w:val="24"/>
          <w:lang w:val="sq-AL"/>
        </w:rPr>
        <w:t xml:space="preserve">Ministrite e linjes., nga të cilat pjesa më e madhe e tyre është marrë në konsideratë dhe është reflektuar në përmbajtje të projektligjit, ose është argumentuar në përmbajtje të relacionit shpjegues. </w:t>
      </w:r>
    </w:p>
    <w:p w14:paraId="4FAC5068" w14:textId="77777777" w:rsidR="00A80F48" w:rsidRPr="000C2083" w:rsidRDefault="00A80F48" w:rsidP="000C2083">
      <w:pPr>
        <w:spacing w:line="276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55573EC" w14:textId="43993DCD" w:rsidR="001C3A76" w:rsidRPr="000C2083" w:rsidRDefault="00A80F48" w:rsidP="000C2083">
      <w:pPr>
        <w:spacing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3. 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Për </w:t>
      </w:r>
      <w:r w:rsidRPr="008144CE">
        <w:rPr>
          <w:rFonts w:ascii="Times New Roman" w:hAnsi="Times New Roman"/>
          <w:sz w:val="24"/>
          <w:szCs w:val="24"/>
          <w:lang w:val="sq-AL"/>
        </w:rPr>
        <w:t>projektvendimin “P</w:t>
      </w:r>
      <w:r w:rsidR="000C2083" w:rsidRPr="008144CE">
        <w:rPr>
          <w:rFonts w:ascii="Times New Roman" w:hAnsi="Times New Roman"/>
          <w:sz w:val="24"/>
          <w:szCs w:val="24"/>
          <w:lang w:val="sq-AL"/>
        </w:rPr>
        <w:t>ë</w:t>
      </w:r>
      <w:r w:rsidRPr="008144CE">
        <w:rPr>
          <w:rFonts w:ascii="Times New Roman" w:hAnsi="Times New Roman"/>
          <w:sz w:val="24"/>
          <w:szCs w:val="24"/>
          <w:lang w:val="sq-AL"/>
        </w:rPr>
        <w:t>r miratimin e Strategjisë Kombëtare të Mbrojtjes Sociale 2024 – 2030 dhe të Planit  të Veprimit në zbatim të saj”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” jan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marr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30 komente n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p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rmjet takimeve publike dhe tryezave t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konsultimit, nga t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cilat 22 jan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pranuar dhe reflektuar, dhe 7 jan</w:t>
      </w:r>
      <w:r w:rsidR="000C2083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refuzuar.</w:t>
      </w:r>
    </w:p>
    <w:p w14:paraId="1A83C9CA" w14:textId="77777777" w:rsidR="00A80F48" w:rsidRPr="000C2083" w:rsidRDefault="00A80F48" w:rsidP="000C2083">
      <w:pPr>
        <w:spacing w:line="276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AF6B37D" w14:textId="77777777" w:rsidR="0059478C" w:rsidRPr="000C2083" w:rsidRDefault="00C85797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Cila është tendenca nëse krahasohet me vitet e kaluara?</w:t>
      </w:r>
      <w:r w:rsidR="0059478C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08A00454" w14:textId="02F692C7" w:rsidR="00C85797" w:rsidRPr="000C2083" w:rsidRDefault="00D40D07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Tendenca 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krahasim me vitet e kaluara 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>sht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rritje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si nga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>numri i pjes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>marrjeve ashtu edhe i meto</w:t>
      </w:r>
      <w:r w:rsidR="001B0139">
        <w:rPr>
          <w:rFonts w:ascii="Times New Roman" w:hAnsi="Times New Roman"/>
          <w:sz w:val="24"/>
          <w:szCs w:val="24"/>
          <w:lang w:val="sq-AL" w:eastAsia="sl-SI"/>
        </w:rPr>
        <w:t>d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>a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>ve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F7486" w:rsidRPr="000C2083">
        <w:rPr>
          <w:rFonts w:ascii="Times New Roman" w:hAnsi="Times New Roman"/>
          <w:sz w:val="24"/>
          <w:szCs w:val="24"/>
          <w:lang w:val="sq-AL" w:eastAsia="sl-SI"/>
        </w:rPr>
        <w:t xml:space="preserve"> njoftimit dhe konsultimit</w:t>
      </w:r>
      <w:r w:rsidR="00BB63A0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>q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 xml:space="preserve"> jan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 xml:space="preserve">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>rdorur nga Ministria e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>sis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 xml:space="preserve"> dhe Mbrojtj</w:t>
      </w:r>
      <w:r w:rsidR="001B0139">
        <w:rPr>
          <w:rFonts w:ascii="Times New Roman" w:hAnsi="Times New Roman"/>
          <w:sz w:val="24"/>
          <w:szCs w:val="24"/>
          <w:lang w:val="sq-AL" w:eastAsia="sl-SI"/>
        </w:rPr>
        <w:t>e</w:t>
      </w:r>
      <w:r w:rsidR="00BB63A0" w:rsidRPr="000C2083">
        <w:rPr>
          <w:rFonts w:ascii="Times New Roman" w:hAnsi="Times New Roman"/>
          <w:sz w:val="24"/>
          <w:szCs w:val="24"/>
          <w:lang w:val="sq-AL" w:eastAsia="sl-SI"/>
        </w:rPr>
        <w:t>s Sociale.</w:t>
      </w:r>
    </w:p>
    <w:p w14:paraId="5F528EE8" w14:textId="77777777" w:rsidR="002D4ADE" w:rsidRPr="000C2083" w:rsidRDefault="002D4ADE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3C77A119" w14:textId="77777777" w:rsidR="00484074" w:rsidRPr="000C2083" w:rsidRDefault="00C85797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raporte të VNR-së janë ndryshuar/përditësuarnë bazë të informacionit/të dhënave të marra gjatë konsultimit publik?</w:t>
      </w:r>
    </w:p>
    <w:p w14:paraId="4D3F2F7B" w14:textId="77777777" w:rsidR="002D4ADE" w:rsidRPr="000C2083" w:rsidRDefault="002D4ADE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4A548899" w14:textId="7D414D4B" w:rsidR="0032382A" w:rsidRPr="000C2083" w:rsidRDefault="00484074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tre aktet q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jan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konsultuar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jan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ndryshuar dhe jan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p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>rdit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>suar n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baz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komenteve 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marra gjat</w:t>
      </w:r>
      <w:r w:rsidR="00191DC2" w:rsidRPr="000C2083">
        <w:rPr>
          <w:rFonts w:ascii="Times New Roman" w:hAnsi="Times New Roman"/>
          <w:iCs/>
          <w:sz w:val="24"/>
          <w:szCs w:val="24"/>
          <w:lang w:val="sq-AL" w:eastAsia="sl-SI"/>
        </w:rPr>
        <w:t>ë</w:t>
      </w:r>
      <w:r w:rsidR="0032382A" w:rsidRPr="000C2083">
        <w:rPr>
          <w:rFonts w:ascii="Times New Roman" w:hAnsi="Times New Roman"/>
          <w:iCs/>
          <w:sz w:val="24"/>
          <w:szCs w:val="24"/>
          <w:lang w:val="sq-AL" w:eastAsia="sl-SI"/>
        </w:rPr>
        <w:t xml:space="preserve"> konsultimit</w:t>
      </w:r>
      <w:r w:rsidRPr="000C2083">
        <w:rPr>
          <w:rFonts w:ascii="Times New Roman" w:hAnsi="Times New Roman"/>
          <w:iCs/>
          <w:sz w:val="24"/>
          <w:szCs w:val="24"/>
          <w:lang w:val="sq-AL" w:eastAsia="sl-SI"/>
        </w:rPr>
        <w:t>.</w:t>
      </w:r>
    </w:p>
    <w:p w14:paraId="1BCF086B" w14:textId="77777777" w:rsidR="00C85797" w:rsidRPr="000C2083" w:rsidRDefault="00C85797" w:rsidP="000C2083">
      <w:pPr>
        <w:shd w:val="clear" w:color="auto" w:fill="FFFFFF"/>
        <w:tabs>
          <w:tab w:val="left" w:pos="567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7082B02F" w14:textId="77777777" w:rsidR="00C85797" w:rsidRPr="000C2083" w:rsidRDefault="00C85797" w:rsidP="000C2083">
      <w:pPr>
        <w:pStyle w:val="ListParagraph"/>
        <w:numPr>
          <w:ilvl w:val="1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i/>
          <w:iCs/>
          <w:sz w:val="24"/>
          <w:szCs w:val="24"/>
          <w:lang w:val="sq-AL" w:eastAsia="sl-SI"/>
        </w:rPr>
        <w:t xml:space="preserve"> Raportet mbi rezultatet e konsultimit</w:t>
      </w:r>
    </w:p>
    <w:p w14:paraId="4B7EBA0B" w14:textId="77777777" w:rsidR="00484074" w:rsidRPr="000C2083" w:rsidRDefault="00C85797" w:rsidP="000C2083">
      <w:pPr>
        <w:numPr>
          <w:ilvl w:val="2"/>
          <w:numId w:val="23"/>
        </w:numPr>
        <w:shd w:val="clear" w:color="auto" w:fill="FFFFFF"/>
        <w:tabs>
          <w:tab w:val="left" w:pos="567"/>
        </w:tabs>
        <w:spacing w:after="120" w:line="276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Sa raporte konsultimi publikoi institucioni?</w:t>
      </w:r>
      <w:r w:rsidR="0054410E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</w:p>
    <w:p w14:paraId="48859E88" w14:textId="181F0CB5" w:rsidR="000C7D6D" w:rsidRPr="000C2083" w:rsidRDefault="00484074" w:rsidP="000C2083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Ministria e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sis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dhe Mbrojtj</w:t>
      </w:r>
      <w:r w:rsidR="008A2D53">
        <w:rPr>
          <w:rFonts w:ascii="Times New Roman" w:hAnsi="Times New Roman"/>
          <w:sz w:val="24"/>
          <w:szCs w:val="24"/>
          <w:lang w:val="sq-AL" w:eastAsia="sl-SI"/>
        </w:rPr>
        <w:t>e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 Sociale</w:t>
      </w:r>
      <w:r w:rsidR="0054410E"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 xml:space="preserve"> </w:t>
      </w:r>
      <w:r w:rsidR="0054410E" w:rsidRPr="000C2083">
        <w:rPr>
          <w:rFonts w:ascii="Times New Roman" w:hAnsi="Times New Roman"/>
          <w:sz w:val="24"/>
          <w:szCs w:val="24"/>
          <w:lang w:val="sq-AL" w:eastAsia="sl-SI"/>
        </w:rPr>
        <w:t xml:space="preserve">ka publikuar </w:t>
      </w:r>
      <w:r w:rsidR="008A2D53">
        <w:rPr>
          <w:rFonts w:ascii="Times New Roman" w:hAnsi="Times New Roman"/>
          <w:sz w:val="24"/>
          <w:szCs w:val="24"/>
          <w:lang w:val="sq-AL" w:eastAsia="sl-SI"/>
        </w:rPr>
        <w:t>tre</w:t>
      </w:r>
      <w:r w:rsidR="00E24225" w:rsidRPr="000C2083">
        <w:rPr>
          <w:rFonts w:ascii="Times New Roman" w:hAnsi="Times New Roman"/>
          <w:sz w:val="24"/>
          <w:szCs w:val="24"/>
          <w:lang w:val="sq-AL" w:eastAsia="sl-SI"/>
        </w:rPr>
        <w:t xml:space="preserve"> raport</w:t>
      </w:r>
      <w:r w:rsidR="008A2D53">
        <w:rPr>
          <w:rFonts w:ascii="Times New Roman" w:hAnsi="Times New Roman"/>
          <w:sz w:val="24"/>
          <w:szCs w:val="24"/>
          <w:lang w:val="sq-AL" w:eastAsia="sl-SI"/>
        </w:rPr>
        <w:t>e</w:t>
      </w:r>
      <w:r w:rsidR="0054410E" w:rsidRPr="000C2083">
        <w:rPr>
          <w:rFonts w:ascii="Times New Roman" w:hAnsi="Times New Roman"/>
          <w:sz w:val="24"/>
          <w:szCs w:val="24"/>
          <w:lang w:val="sq-AL" w:eastAsia="sl-SI"/>
        </w:rPr>
        <w:t xml:space="preserve"> konsultimi publik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A2D53">
        <w:rPr>
          <w:rFonts w:ascii="Times New Roman" w:hAnsi="Times New Roman"/>
          <w:sz w:val="24"/>
          <w:szCs w:val="24"/>
          <w:lang w:val="sq-AL" w:eastAsia="sl-SI"/>
        </w:rPr>
        <w:t>r aktet e miratuara dhe të konsultuara.</w:t>
      </w:r>
    </w:p>
    <w:p w14:paraId="521BA285" w14:textId="77777777" w:rsidR="008A2D53" w:rsidRPr="000443B8" w:rsidRDefault="008A2D53" w:rsidP="008A2D53">
      <w:pPr>
        <w:spacing w:after="160" w:line="276" w:lineRule="auto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6830D8F" w14:textId="05FF786C" w:rsidR="00D57822" w:rsidRPr="00B84B35" w:rsidRDefault="00C85797" w:rsidP="00B84B35">
      <w:pPr>
        <w:numPr>
          <w:ilvl w:val="2"/>
          <w:numId w:val="23"/>
        </w:numPr>
        <w:shd w:val="clear" w:color="auto" w:fill="FFFFFF"/>
        <w:tabs>
          <w:tab w:val="left" w:pos="567"/>
        </w:tabs>
        <w:spacing w:after="120"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Nëse disa nuk u publikuan, cilat janë arsyet?</w:t>
      </w:r>
    </w:p>
    <w:p w14:paraId="756736E5" w14:textId="6F17D320" w:rsidR="00E45FD3" w:rsidRDefault="008A2D53" w:rsidP="000C2083">
      <w:pPr>
        <w:shd w:val="clear" w:color="auto" w:fill="FFFFFF"/>
        <w:tabs>
          <w:tab w:val="left" w:pos="567"/>
        </w:tabs>
        <w:spacing w:after="120" w:line="276" w:lineRule="auto"/>
        <w:ind w:left="1134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>
        <w:rPr>
          <w:rFonts w:ascii="Times New Roman" w:hAnsi="Times New Roman"/>
          <w:iCs/>
          <w:sz w:val="24"/>
          <w:szCs w:val="24"/>
          <w:lang w:val="sq-AL" w:eastAsia="sl-SI"/>
        </w:rPr>
        <w:t>Janë publikuar tre raportet e konsultimit për tre projektaktet e miratuara.</w:t>
      </w:r>
    </w:p>
    <w:p w14:paraId="000B71DC" w14:textId="77777777" w:rsidR="008A2D53" w:rsidRPr="000C2083" w:rsidRDefault="008A2D53" w:rsidP="000C2083">
      <w:pPr>
        <w:shd w:val="clear" w:color="auto" w:fill="FFFFFF"/>
        <w:tabs>
          <w:tab w:val="left" w:pos="567"/>
        </w:tabs>
        <w:spacing w:after="120" w:line="276" w:lineRule="auto"/>
        <w:ind w:left="1134"/>
        <w:jc w:val="both"/>
        <w:rPr>
          <w:rFonts w:ascii="Times New Roman" w:hAnsi="Times New Roman"/>
          <w:sz w:val="24"/>
          <w:szCs w:val="24"/>
          <w:lang w:val="sq-AL" w:eastAsia="sl-SI"/>
        </w:rPr>
      </w:pPr>
    </w:p>
    <w:p w14:paraId="320136A9" w14:textId="77777777" w:rsidR="00C85797" w:rsidRPr="000C2083" w:rsidRDefault="00C85797" w:rsidP="000C2083">
      <w:pPr>
        <w:pStyle w:val="ListParagraph"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sz w:val="24"/>
          <w:szCs w:val="24"/>
          <w:lang w:val="sq-AL" w:eastAsia="sl-SI"/>
        </w:rPr>
        <w:t>Vetëvlerësimi i institucionit në lidhje me Indeksin e cilësisë së performancës institucionale në përputhje me kërkesat e ligjit për njoftimin dhe konsultimin publik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(Jepni informacion për rezultatin mesatar për të gjitha aktet e institucionit, subjekt të konsultimeve publike, bazuar në pikët e rezultateve në Shtojcën 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5c)</w:t>
      </w:r>
    </w:p>
    <w:p w14:paraId="739AC29D" w14:textId="518D2D26" w:rsidR="00C85797" w:rsidRPr="00D57822" w:rsidRDefault="00526B70" w:rsidP="00D57822">
      <w:pPr>
        <w:shd w:val="clear" w:color="auto" w:fill="FFFFFF"/>
        <w:spacing w:line="276" w:lineRule="auto"/>
        <w:ind w:left="48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D57822">
        <w:rPr>
          <w:rFonts w:ascii="Times New Roman" w:hAnsi="Times New Roman"/>
          <w:sz w:val="24"/>
          <w:szCs w:val="24"/>
          <w:lang w:val="sq-AL" w:eastAsia="sl-SI"/>
        </w:rPr>
        <w:t>Bazuar në vetëvlerësimin institucional në lidhje me indeksin e cilësisë së performancës institucionale në përputhje me kërkesat e ligjit për njoftimin dhe konsultimin publik</w:t>
      </w:r>
      <w:r w:rsidR="002A1408">
        <w:rPr>
          <w:rStyle w:val="CommentReference"/>
          <w:rFonts w:ascii="Times New Roman" w:eastAsiaTheme="minorHAnsi" w:hAnsi="Times New Roman"/>
          <w:sz w:val="24"/>
          <w:szCs w:val="24"/>
          <w:lang w:val="sq-AL"/>
        </w:rPr>
        <w:t>.</w:t>
      </w:r>
    </w:p>
    <w:p w14:paraId="4A24CD15" w14:textId="77777777" w:rsidR="00D57822" w:rsidRDefault="00D57822" w:rsidP="00D57822">
      <w:pPr>
        <w:shd w:val="clear" w:color="auto" w:fill="FFFFFF"/>
        <w:spacing w:line="276" w:lineRule="auto"/>
        <w:ind w:firstLine="480"/>
        <w:jc w:val="both"/>
        <w:rPr>
          <w:lang w:val="sq-AL"/>
        </w:rPr>
      </w:pPr>
    </w:p>
    <w:p w14:paraId="34E95F7F" w14:textId="77777777" w:rsidR="00D57822" w:rsidRDefault="00D57822" w:rsidP="00D57822">
      <w:pPr>
        <w:shd w:val="clear" w:color="auto" w:fill="FFFFFF"/>
        <w:spacing w:line="276" w:lineRule="auto"/>
        <w:ind w:left="480"/>
        <w:jc w:val="both"/>
        <w:rPr>
          <w:rFonts w:ascii="Times New Roman" w:hAnsi="Times New Roman"/>
          <w:sz w:val="24"/>
          <w:szCs w:val="24"/>
          <w:lang w:val="sq-AL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 xml:space="preserve">MSHMS vlerëson se konsultimi i të </w:t>
      </w:r>
      <w:r>
        <w:rPr>
          <w:rFonts w:ascii="Times New Roman" w:hAnsi="Times New Roman"/>
          <w:sz w:val="24"/>
          <w:szCs w:val="24"/>
          <w:lang w:val="sq-AL"/>
        </w:rPr>
        <w:t xml:space="preserve">tre </w:t>
      </w:r>
      <w:r w:rsidRPr="00D57822">
        <w:rPr>
          <w:rFonts w:ascii="Times New Roman" w:hAnsi="Times New Roman"/>
          <w:sz w:val="24"/>
          <w:szCs w:val="24"/>
          <w:lang w:val="sq-AL"/>
        </w:rPr>
        <w:t>dokumenteve të miratuar për vitin 202</w:t>
      </w:r>
      <w:r>
        <w:rPr>
          <w:rFonts w:ascii="Times New Roman" w:hAnsi="Times New Roman"/>
          <w:sz w:val="24"/>
          <w:szCs w:val="24"/>
          <w:lang w:val="sq-AL"/>
        </w:rPr>
        <w:t>4</w:t>
      </w:r>
      <w:r w:rsidRPr="00D57822">
        <w:rPr>
          <w:rFonts w:ascii="Times New Roman" w:hAnsi="Times New Roman"/>
          <w:sz w:val="24"/>
          <w:szCs w:val="24"/>
          <w:lang w:val="sq-AL"/>
        </w:rPr>
        <w:t xml:space="preserve">, që i janë nënshtruar konsultimit publik ka qenë në nivel shumë të mirë. Në konsultimin e tyre janë përfshirë një numër i gjerë aktorësh. Dokumenti ka patur forume të ndryshme konsultimi, si RENjK dhe tryezat e përbashkëta e nëpërmjet tyre janë sjellë komente dhe feedback nga institucionet dhe shoqëria civile si dhe ndërgjegjësimin për çështjet në fusha të ndryshme të aktivitetit shoqëror. Sugjerimet e tyre janë reflektuar si në raportin individual të konsultimit ashtu edhe në relacionin e dërguar në Këshillin e Ministrave duke pasqyruar nëse janë pranuar ose jo dhe pse. </w:t>
      </w:r>
    </w:p>
    <w:p w14:paraId="0D846653" w14:textId="38C33C34" w:rsidR="00D57822" w:rsidRPr="00D57822" w:rsidRDefault="00D57822" w:rsidP="00D57822">
      <w:pPr>
        <w:shd w:val="clear" w:color="auto" w:fill="FFFFFF"/>
        <w:spacing w:line="276" w:lineRule="auto"/>
        <w:ind w:left="48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D57822">
        <w:rPr>
          <w:rFonts w:ascii="Times New Roman" w:hAnsi="Times New Roman"/>
          <w:sz w:val="24"/>
          <w:szCs w:val="24"/>
          <w:lang w:val="sq-AL"/>
        </w:rPr>
        <w:t>Gjithashtu, raportet e konsultimit publik janë publikuar në RENjKP, në seksionet e secilit prej akteve. Projektligjet publikohen në sistemin e informacionit qeveritar, sigurohet informacion i mjaftueshëm për konsultime të gjera me palët e interesit si dhe ruhen prova të mjaftueshme mbi reagimet e tyre, nëpërmjet publikimit të tyre në RENjKP. Gjithashtu, një shkallë e mirë e reflektimit të reagimeve të palëve të interesuara pasqyrohet në draftin e ri. Për sa më sipër, institucioni vetëvlerësohet me numrin maksimal të pikëve, 8, pasi projektligjet janë publikuar në sistemin e informacionit të qeverisë, është dhënë informacion i mjaftueshëm lidhur me konsultimin e gjerë me grupet e interesit, janë ruajtur prova të mjaftueshme për reagimet e tyre dhe në draftet e reja të projektligjeve pasqyrohet një shkallë e mirë e reflektimit të reagimit të palëve të interesuara</w:t>
      </w:r>
    </w:p>
    <w:p w14:paraId="0FFC28D0" w14:textId="77777777" w:rsidR="00D57822" w:rsidRPr="000C2083" w:rsidRDefault="00D57822" w:rsidP="000C2083">
      <w:pPr>
        <w:pStyle w:val="ListParagraph"/>
        <w:shd w:val="clear" w:color="auto" w:fill="FFFFFF"/>
        <w:spacing w:line="276" w:lineRule="auto"/>
        <w:ind w:left="740" w:firstLine="0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</w:p>
    <w:p w14:paraId="2D57E711" w14:textId="34E1ABA2" w:rsidR="00484074" w:rsidRPr="00B84B35" w:rsidRDefault="00C85797" w:rsidP="00B84B35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b/>
          <w:bCs/>
          <w:sz w:val="24"/>
          <w:szCs w:val="24"/>
          <w:u w:val="single"/>
          <w:lang w:val="sq-AL" w:eastAsia="sl-SI"/>
        </w:rPr>
        <w:t xml:space="preserve"> Sfidat dhe mundësitë për të ardhmen </w:t>
      </w:r>
      <w:r w:rsidRPr="000C2083">
        <w:rPr>
          <w:rFonts w:ascii="Times New Roman" w:hAnsi="Times New Roman"/>
          <w:i/>
          <w:iCs/>
          <w:sz w:val="24"/>
          <w:szCs w:val="24"/>
          <w:lang w:val="sq-AL" w:eastAsia="sl-SI"/>
        </w:rPr>
        <w:t>(Cilat janë sfidat kryesore në organizimin dhe zbatimin e konsultimeve në ministri dhe si duhet dhe do të adresohen ato në periudhën tjetër të raportimit?)</w:t>
      </w:r>
      <w:r w:rsidR="00B84B35">
        <w:rPr>
          <w:rFonts w:ascii="Times New Roman" w:hAnsi="Times New Roman"/>
          <w:i/>
          <w:iCs/>
          <w:sz w:val="24"/>
          <w:szCs w:val="24"/>
          <w:lang w:val="sq-AL" w:eastAsia="sl-SI"/>
        </w:rPr>
        <w:t>.</w:t>
      </w:r>
    </w:p>
    <w:p w14:paraId="20EDD121" w14:textId="270BEAC7" w:rsidR="003D6805" w:rsidRPr="000C2083" w:rsidRDefault="00846858" w:rsidP="000C2083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r Ministrin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e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>sis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 dhe Mbrojtjes Sociale</w:t>
      </w:r>
      <w:r w:rsidR="00E73E3A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sfida kryesore</w:t>
      </w:r>
      <w:r w:rsidR="00F73285" w:rsidRPr="000C2083">
        <w:rPr>
          <w:rFonts w:ascii="Times New Roman" w:hAnsi="Times New Roman"/>
          <w:sz w:val="24"/>
          <w:szCs w:val="24"/>
          <w:lang w:val="sq-AL" w:eastAsia="sl-SI"/>
        </w:rPr>
        <w:t xml:space="preserve"> mbeten:</w:t>
      </w:r>
    </w:p>
    <w:p w14:paraId="28E288AE" w14:textId="36961E75" w:rsidR="00CF672B" w:rsidRPr="000C2083" w:rsidRDefault="003D6805" w:rsidP="000C2083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 xml:space="preserve">-Pjesmarrje </w:t>
      </w:r>
      <w:r w:rsidR="00105ABA" w:rsidRPr="000C2083">
        <w:rPr>
          <w:rFonts w:ascii="Times New Roman" w:hAnsi="Times New Roman"/>
          <w:sz w:val="24"/>
          <w:szCs w:val="24"/>
          <w:lang w:val="sq-AL" w:eastAsia="sl-SI"/>
        </w:rPr>
        <w:t>sa m</w:t>
      </w:r>
      <w:r w:rsidR="00D55F95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105ABA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D55F95" w:rsidRPr="000C2083">
        <w:rPr>
          <w:rFonts w:ascii="Times New Roman" w:hAnsi="Times New Roman"/>
          <w:sz w:val="24"/>
          <w:szCs w:val="24"/>
          <w:lang w:val="sq-AL" w:eastAsia="sl-SI"/>
        </w:rPr>
        <w:t>te lartë të</w:t>
      </w:r>
      <w:r w:rsidR="00E318C4" w:rsidRPr="000C2083">
        <w:rPr>
          <w:rFonts w:ascii="Times New Roman" w:hAnsi="Times New Roman"/>
          <w:sz w:val="24"/>
          <w:szCs w:val="24"/>
          <w:lang w:val="sq-AL" w:eastAsia="sl-SI"/>
        </w:rPr>
        <w:t xml:space="preserve"> qytetar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E318C4" w:rsidRPr="000C2083">
        <w:rPr>
          <w:rFonts w:ascii="Times New Roman" w:hAnsi="Times New Roman"/>
          <w:sz w:val="24"/>
          <w:szCs w:val="24"/>
          <w:lang w:val="sq-AL" w:eastAsia="sl-SI"/>
        </w:rPr>
        <w:t xml:space="preserve">ve 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>dhe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>rfshirje</w:t>
      </w:r>
      <w:r w:rsidR="00D55F95" w:rsidRPr="000C2083">
        <w:rPr>
          <w:rFonts w:ascii="Times New Roman" w:hAnsi="Times New Roman"/>
          <w:sz w:val="24"/>
          <w:szCs w:val="24"/>
          <w:lang w:val="sq-AL" w:eastAsia="sl-SI"/>
        </w:rPr>
        <w:t xml:space="preserve"> t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>e grupeve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interesit 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 xml:space="preserve">konsultimet publike per 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 xml:space="preserve">hartimin e politikave </w:t>
      </w:r>
      <w:r w:rsidR="00E318C4" w:rsidRPr="000C2083">
        <w:rPr>
          <w:rFonts w:ascii="Times New Roman" w:hAnsi="Times New Roman"/>
          <w:sz w:val="24"/>
          <w:szCs w:val="24"/>
          <w:lang w:val="sq-AL" w:eastAsia="sl-SI"/>
        </w:rPr>
        <w:t>sa m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E318C4" w:rsidRPr="000C2083">
        <w:rPr>
          <w:rFonts w:ascii="Times New Roman" w:hAnsi="Times New Roman"/>
          <w:sz w:val="24"/>
          <w:szCs w:val="24"/>
          <w:lang w:val="sq-AL" w:eastAsia="sl-SI"/>
        </w:rPr>
        <w:t xml:space="preserve">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E318C4" w:rsidRPr="000C2083">
        <w:rPr>
          <w:rFonts w:ascii="Times New Roman" w:hAnsi="Times New Roman"/>
          <w:sz w:val="24"/>
          <w:szCs w:val="24"/>
          <w:lang w:val="sq-AL" w:eastAsia="sl-SI"/>
        </w:rPr>
        <w:t xml:space="preserve"> mira </w:t>
      </w:r>
      <w:r w:rsidR="00535E1A" w:rsidRPr="000C2083">
        <w:rPr>
          <w:rFonts w:ascii="Times New Roman" w:hAnsi="Times New Roman"/>
          <w:sz w:val="24"/>
          <w:szCs w:val="24"/>
          <w:lang w:val="sq-AL" w:eastAsia="sl-SI"/>
        </w:rPr>
        <w:t>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335DE8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CF672B" w:rsidRPr="000C2083">
        <w:rPr>
          <w:rFonts w:ascii="Times New Roman" w:hAnsi="Times New Roman"/>
          <w:sz w:val="24"/>
          <w:szCs w:val="24"/>
          <w:lang w:val="sq-AL" w:eastAsia="sl-SI"/>
        </w:rPr>
        <w:t>legjislacioni</w:t>
      </w:r>
      <w:r w:rsidR="00335DE8" w:rsidRPr="000C2083">
        <w:rPr>
          <w:rFonts w:ascii="Times New Roman" w:hAnsi="Times New Roman"/>
          <w:sz w:val="24"/>
          <w:szCs w:val="24"/>
          <w:lang w:val="sq-AL" w:eastAsia="sl-SI"/>
        </w:rPr>
        <w:t xml:space="preserve">n 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>n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fush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>n e sh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>ndet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>sis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2645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dhe mbrojtjes sociale. </w:t>
      </w:r>
    </w:p>
    <w:p w14:paraId="5B4A44B5" w14:textId="7AC1386D" w:rsidR="00846858" w:rsidRPr="000C2083" w:rsidRDefault="00A2645B" w:rsidP="000C2083">
      <w:pPr>
        <w:pStyle w:val="ListParagraph"/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i/>
          <w:iCs/>
          <w:sz w:val="24"/>
          <w:szCs w:val="24"/>
          <w:lang w:val="sq-AL" w:eastAsia="sl-SI"/>
        </w:rPr>
      </w:pPr>
      <w:r w:rsidRPr="000C2083">
        <w:rPr>
          <w:rFonts w:ascii="Times New Roman" w:hAnsi="Times New Roman"/>
          <w:sz w:val="24"/>
          <w:szCs w:val="24"/>
          <w:lang w:val="sq-AL" w:eastAsia="sl-SI"/>
        </w:rPr>
        <w:t>-</w:t>
      </w:r>
      <w:r w:rsidR="00E33002" w:rsidRPr="000C2083">
        <w:rPr>
          <w:rFonts w:ascii="Times New Roman" w:hAnsi="Times New Roman"/>
          <w:sz w:val="24"/>
          <w:szCs w:val="24"/>
          <w:lang w:val="sq-AL" w:eastAsia="sl-SI"/>
        </w:rPr>
        <w:t xml:space="preserve"> R</w:t>
      </w:r>
      <w:r w:rsidR="007A5E1D" w:rsidRPr="000C2083">
        <w:rPr>
          <w:rFonts w:ascii="Times New Roman" w:hAnsi="Times New Roman"/>
          <w:sz w:val="24"/>
          <w:szCs w:val="24"/>
          <w:lang w:val="sq-AL" w:eastAsia="sl-SI"/>
        </w:rPr>
        <w:t xml:space="preserve">ealizimi </w:t>
      </w:r>
      <w:r w:rsidR="00CE5A34" w:rsidRPr="000C2083">
        <w:rPr>
          <w:rFonts w:ascii="Times New Roman" w:hAnsi="Times New Roman"/>
          <w:sz w:val="24"/>
          <w:szCs w:val="24"/>
          <w:lang w:val="sq-AL" w:eastAsia="sl-SI"/>
        </w:rPr>
        <w:t>sa m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CE5A34" w:rsidRPr="000C2083">
        <w:rPr>
          <w:rFonts w:ascii="Times New Roman" w:hAnsi="Times New Roman"/>
          <w:sz w:val="24"/>
          <w:szCs w:val="24"/>
          <w:lang w:val="sq-AL" w:eastAsia="sl-SI"/>
        </w:rPr>
        <w:t xml:space="preserve"> mir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CE5A34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7A5E1D" w:rsidRPr="000C2083">
        <w:rPr>
          <w:rFonts w:ascii="Times New Roman" w:hAnsi="Times New Roman"/>
          <w:sz w:val="24"/>
          <w:szCs w:val="24"/>
          <w:lang w:val="sq-AL" w:eastAsia="sl-SI"/>
        </w:rPr>
        <w:t xml:space="preserve">i </w:t>
      </w:r>
      <w:r w:rsidR="00A3077B" w:rsidRPr="000C2083">
        <w:rPr>
          <w:rFonts w:ascii="Times New Roman" w:hAnsi="Times New Roman"/>
          <w:sz w:val="24"/>
          <w:szCs w:val="24"/>
          <w:lang w:val="sq-AL" w:eastAsia="sl-SI"/>
        </w:rPr>
        <w:t>konsultimi publik</w:t>
      </w:r>
      <w:r w:rsidR="00745CA3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do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 xml:space="preserve"> rris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shkall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n e mir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kuptimit dhe bashk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punimit mes shum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 xml:space="preserve"> aktor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ve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sekto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>r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it publik dhe pri</w:t>
      </w:r>
      <w:r w:rsidR="00BE77A4" w:rsidRPr="000C2083">
        <w:rPr>
          <w:rFonts w:ascii="Times New Roman" w:hAnsi="Times New Roman"/>
          <w:sz w:val="24"/>
          <w:szCs w:val="24"/>
          <w:lang w:val="sq-AL" w:eastAsia="sl-SI"/>
        </w:rPr>
        <w:t>v</w:t>
      </w:r>
      <w:r w:rsidR="008E236D" w:rsidRPr="000C2083">
        <w:rPr>
          <w:rFonts w:ascii="Times New Roman" w:hAnsi="Times New Roman"/>
          <w:sz w:val="24"/>
          <w:szCs w:val="24"/>
          <w:lang w:val="sq-AL" w:eastAsia="sl-SI"/>
        </w:rPr>
        <w:t>at</w:t>
      </w:r>
      <w:r w:rsidR="00E070E5" w:rsidRPr="000C2083">
        <w:rPr>
          <w:rFonts w:ascii="Times New Roman" w:hAnsi="Times New Roman"/>
          <w:sz w:val="24"/>
          <w:szCs w:val="24"/>
          <w:lang w:val="sq-AL" w:eastAsia="sl-SI"/>
        </w:rPr>
        <w:t xml:space="preserve">, </w:t>
      </w:r>
      <w:r w:rsidR="00140CD8" w:rsidRPr="000C2083">
        <w:rPr>
          <w:rFonts w:ascii="Times New Roman" w:hAnsi="Times New Roman"/>
          <w:sz w:val="24"/>
          <w:szCs w:val="24"/>
          <w:lang w:val="sq-AL" w:eastAsia="sl-SI"/>
        </w:rPr>
        <w:t xml:space="preserve">si dhe do </w:t>
      </w:r>
      <w:r w:rsidR="00B80FEA" w:rsidRPr="000C2083">
        <w:rPr>
          <w:rFonts w:ascii="Times New Roman" w:hAnsi="Times New Roman"/>
          <w:sz w:val="24"/>
          <w:szCs w:val="24"/>
          <w:lang w:val="sq-AL" w:eastAsia="sl-SI"/>
        </w:rPr>
        <w:t>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80FEA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sj</w:t>
      </w:r>
      <w:r w:rsidR="00437D2A" w:rsidRPr="000C2083">
        <w:rPr>
          <w:rFonts w:ascii="Times New Roman" w:hAnsi="Times New Roman"/>
          <w:sz w:val="24"/>
          <w:szCs w:val="24"/>
          <w:lang w:val="sq-AL" w:eastAsia="sl-SI"/>
        </w:rPr>
        <w:t>el</w:t>
      </w:r>
      <w:r w:rsidR="00B80FEA" w:rsidRPr="000C2083">
        <w:rPr>
          <w:rFonts w:ascii="Times New Roman" w:hAnsi="Times New Roman"/>
          <w:sz w:val="24"/>
          <w:szCs w:val="24"/>
          <w:lang w:val="sq-AL" w:eastAsia="sl-SI"/>
        </w:rPr>
        <w:t>l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80FEA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105ABA" w:rsidRPr="000C2083">
        <w:rPr>
          <w:rFonts w:ascii="Times New Roman" w:hAnsi="Times New Roman"/>
          <w:sz w:val="24"/>
          <w:szCs w:val="24"/>
          <w:lang w:val="sq-AL" w:eastAsia="sl-SI"/>
        </w:rPr>
        <w:t xml:space="preserve">zbatimin e </w:t>
      </w:r>
      <w:r w:rsidR="00B80FEA" w:rsidRPr="000C2083">
        <w:rPr>
          <w:rFonts w:ascii="Times New Roman" w:hAnsi="Times New Roman"/>
          <w:sz w:val="24"/>
          <w:szCs w:val="24"/>
          <w:lang w:val="sq-AL" w:eastAsia="sl-SI"/>
        </w:rPr>
        <w:t xml:space="preserve">konsultimin publik </w:t>
      </w:r>
      <w:r w:rsidR="00A3077B" w:rsidRPr="000C2083">
        <w:rPr>
          <w:rFonts w:ascii="Times New Roman" w:hAnsi="Times New Roman"/>
          <w:sz w:val="24"/>
          <w:szCs w:val="24"/>
          <w:lang w:val="sq-AL" w:eastAsia="sl-SI"/>
        </w:rPr>
        <w:t>si nj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A30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mjet</w:t>
      </w:r>
      <w:r w:rsidR="0088386D" w:rsidRPr="000C2083">
        <w:rPr>
          <w:rFonts w:ascii="Times New Roman" w:hAnsi="Times New Roman"/>
          <w:sz w:val="24"/>
          <w:szCs w:val="24"/>
          <w:lang w:val="sq-AL" w:eastAsia="sl-SI"/>
        </w:rPr>
        <w:t xml:space="preserve"> efektiv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8386D" w:rsidRPr="000C2083">
        <w:rPr>
          <w:rFonts w:ascii="Times New Roman" w:hAnsi="Times New Roman"/>
          <w:sz w:val="24"/>
          <w:szCs w:val="24"/>
          <w:lang w:val="sq-AL" w:eastAsia="sl-SI"/>
        </w:rPr>
        <w:t>r 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8386D" w:rsidRPr="000C2083">
        <w:rPr>
          <w:rFonts w:ascii="Times New Roman" w:hAnsi="Times New Roman"/>
          <w:sz w:val="24"/>
          <w:szCs w:val="24"/>
          <w:lang w:val="sq-AL" w:eastAsia="sl-SI"/>
        </w:rPr>
        <w:t>rmir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88386D" w:rsidRPr="000C2083">
        <w:rPr>
          <w:rFonts w:ascii="Times New Roman" w:hAnsi="Times New Roman"/>
          <w:sz w:val="24"/>
          <w:szCs w:val="24"/>
          <w:lang w:val="sq-AL" w:eastAsia="sl-SI"/>
        </w:rPr>
        <w:t>simin e vendimarrjes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s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B80FEA" w:rsidRPr="000C2083">
        <w:rPr>
          <w:rFonts w:ascii="Times New Roman" w:hAnsi="Times New Roman"/>
          <w:sz w:val="24"/>
          <w:szCs w:val="24"/>
          <w:lang w:val="sq-AL" w:eastAsia="sl-SI"/>
        </w:rPr>
        <w:t xml:space="preserve">institucionit </w:t>
      </w:r>
      <w:r w:rsidR="00BE77A4" w:rsidRPr="000C2083">
        <w:rPr>
          <w:rFonts w:ascii="Times New Roman" w:hAnsi="Times New Roman"/>
          <w:sz w:val="24"/>
          <w:szCs w:val="24"/>
          <w:lang w:val="sq-AL" w:eastAsia="sl-SI"/>
        </w:rPr>
        <w:t>p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E77A4" w:rsidRPr="000C2083">
        <w:rPr>
          <w:rFonts w:ascii="Times New Roman" w:hAnsi="Times New Roman"/>
          <w:sz w:val="24"/>
          <w:szCs w:val="24"/>
          <w:lang w:val="sq-AL" w:eastAsia="sl-SI"/>
        </w:rPr>
        <w:t>r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BE77A4" w:rsidRPr="000C2083">
        <w:rPr>
          <w:rFonts w:ascii="Times New Roman" w:hAnsi="Times New Roman"/>
          <w:sz w:val="24"/>
          <w:szCs w:val="24"/>
          <w:lang w:val="sq-AL" w:eastAsia="sl-SI"/>
        </w:rPr>
        <w:t xml:space="preserve"> 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>miratuar ligje  m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mira e m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t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ë</w:t>
      </w:r>
      <w:r w:rsidR="004F277B" w:rsidRPr="000C2083">
        <w:rPr>
          <w:rFonts w:ascii="Times New Roman" w:hAnsi="Times New Roman"/>
          <w:sz w:val="24"/>
          <w:szCs w:val="24"/>
          <w:lang w:val="sq-AL" w:eastAsia="sl-SI"/>
        </w:rPr>
        <w:t xml:space="preserve"> zbatueshme</w:t>
      </w:r>
      <w:r w:rsidR="00191DC2" w:rsidRPr="000C2083">
        <w:rPr>
          <w:rFonts w:ascii="Times New Roman" w:hAnsi="Times New Roman"/>
          <w:sz w:val="24"/>
          <w:szCs w:val="24"/>
          <w:lang w:val="sq-AL" w:eastAsia="sl-SI"/>
        </w:rPr>
        <w:t>.</w:t>
      </w:r>
    </w:p>
    <w:p w14:paraId="268BD9A2" w14:textId="77777777" w:rsidR="00C85797" w:rsidRPr="000C2083" w:rsidRDefault="00C85797" w:rsidP="000C2083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E28EC53" w14:textId="77777777" w:rsidR="00CF5A51" w:rsidRPr="000C2083" w:rsidRDefault="00CF5A51" w:rsidP="000C2083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F87E98D" w14:textId="77777777" w:rsidR="006F7FAA" w:rsidRPr="000C2083" w:rsidRDefault="006F7FAA" w:rsidP="000C2083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3164577C" w14:textId="77777777" w:rsidR="006F7FAA" w:rsidRPr="000C2083" w:rsidRDefault="006F7FAA" w:rsidP="000C2083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60639406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02709234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6EA72441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72C54DD8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6D97F2FD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515D6436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0192C98E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13A4739C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748CCE14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749ADA4F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27BD0C0C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50D763EE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14:paraId="0944CD7E" w14:textId="77777777" w:rsidR="006F7FAA" w:rsidRPr="000C2083" w:rsidRDefault="006F7FAA" w:rsidP="000C2083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sectPr w:rsidR="006F7FAA" w:rsidRPr="000C2083" w:rsidSect="00CF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B28"/>
    <w:multiLevelType w:val="hybridMultilevel"/>
    <w:tmpl w:val="47ECB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E78FE"/>
    <w:multiLevelType w:val="hybridMultilevel"/>
    <w:tmpl w:val="C81A1F3A"/>
    <w:lvl w:ilvl="0" w:tplc="3AE836C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E2500"/>
    <w:multiLevelType w:val="hybridMultilevel"/>
    <w:tmpl w:val="BC70AE04"/>
    <w:lvl w:ilvl="0" w:tplc="93B4F7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16F7"/>
    <w:multiLevelType w:val="multilevel"/>
    <w:tmpl w:val="490EEB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9F6440"/>
    <w:multiLevelType w:val="multilevel"/>
    <w:tmpl w:val="8F985A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54949"/>
    <w:multiLevelType w:val="hybridMultilevel"/>
    <w:tmpl w:val="6EA896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1C250DD"/>
    <w:multiLevelType w:val="hybridMultilevel"/>
    <w:tmpl w:val="B734BFA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A131C2"/>
    <w:multiLevelType w:val="multilevel"/>
    <w:tmpl w:val="8BF0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non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9" w15:restartNumberingAfterBreak="0">
    <w:nsid w:val="261F2669"/>
    <w:multiLevelType w:val="hybridMultilevel"/>
    <w:tmpl w:val="92EAC94E"/>
    <w:lvl w:ilvl="0" w:tplc="18B8D30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C4816"/>
    <w:multiLevelType w:val="multilevel"/>
    <w:tmpl w:val="7DE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C6BA1"/>
    <w:multiLevelType w:val="multilevel"/>
    <w:tmpl w:val="DDC8F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2" w15:restartNumberingAfterBreak="0">
    <w:nsid w:val="35220642"/>
    <w:multiLevelType w:val="hybridMultilevel"/>
    <w:tmpl w:val="6596AEB4"/>
    <w:lvl w:ilvl="0" w:tplc="BB7878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B36D1"/>
    <w:multiLevelType w:val="multilevel"/>
    <w:tmpl w:val="DDC8F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4" w15:restartNumberingAfterBreak="0">
    <w:nsid w:val="47FF479B"/>
    <w:multiLevelType w:val="multilevel"/>
    <w:tmpl w:val="8C3668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CAA5D11"/>
    <w:multiLevelType w:val="multilevel"/>
    <w:tmpl w:val="13EECD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6"/>
        <w:u w:val="none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i/>
      </w:rPr>
    </w:lvl>
  </w:abstractNum>
  <w:abstractNum w:abstractNumId="16" w15:restartNumberingAfterBreak="0">
    <w:nsid w:val="557F1DFB"/>
    <w:multiLevelType w:val="hybridMultilevel"/>
    <w:tmpl w:val="6A1C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03080"/>
    <w:multiLevelType w:val="multilevel"/>
    <w:tmpl w:val="DDC8F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8" w15:restartNumberingAfterBreak="0">
    <w:nsid w:val="5CE50011"/>
    <w:multiLevelType w:val="hybridMultilevel"/>
    <w:tmpl w:val="6A1C4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361C0"/>
    <w:multiLevelType w:val="hybridMultilevel"/>
    <w:tmpl w:val="C15EED36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6179214C"/>
    <w:multiLevelType w:val="multilevel"/>
    <w:tmpl w:val="DDC8F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1" w15:restartNumberingAfterBreak="0">
    <w:nsid w:val="64B002BD"/>
    <w:multiLevelType w:val="multilevel"/>
    <w:tmpl w:val="805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666D12"/>
    <w:multiLevelType w:val="multilevel"/>
    <w:tmpl w:val="68666D1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D63DB"/>
    <w:multiLevelType w:val="multilevel"/>
    <w:tmpl w:val="6A9D63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62B19"/>
    <w:multiLevelType w:val="multilevel"/>
    <w:tmpl w:val="377E2E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43226E"/>
    <w:multiLevelType w:val="multilevel"/>
    <w:tmpl w:val="144057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67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10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29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03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277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320" w:hanging="1800"/>
      </w:pPr>
      <w:rPr>
        <w:rFonts w:hint="default"/>
        <w:b/>
        <w:i/>
      </w:rPr>
    </w:lvl>
  </w:abstractNum>
  <w:abstractNum w:abstractNumId="26" w15:restartNumberingAfterBreak="0">
    <w:nsid w:val="6EB90DD1"/>
    <w:multiLevelType w:val="hybridMultilevel"/>
    <w:tmpl w:val="5FC44E56"/>
    <w:lvl w:ilvl="0" w:tplc="B212103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71033E2E"/>
    <w:multiLevelType w:val="hybridMultilevel"/>
    <w:tmpl w:val="7CB2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32E4B"/>
    <w:multiLevelType w:val="multilevel"/>
    <w:tmpl w:val="549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EB1FE0"/>
    <w:multiLevelType w:val="hybridMultilevel"/>
    <w:tmpl w:val="1DAEE0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F2D3A3E"/>
    <w:multiLevelType w:val="hybridMultilevel"/>
    <w:tmpl w:val="727C76EE"/>
    <w:lvl w:ilvl="0" w:tplc="59568D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2853">
    <w:abstractNumId w:val="14"/>
  </w:num>
  <w:num w:numId="2" w16cid:durableId="1620643692">
    <w:abstractNumId w:val="8"/>
  </w:num>
  <w:num w:numId="3" w16cid:durableId="1905674894">
    <w:abstractNumId w:val="26"/>
  </w:num>
  <w:num w:numId="4" w16cid:durableId="1076710185">
    <w:abstractNumId w:val="6"/>
  </w:num>
  <w:num w:numId="5" w16cid:durableId="20524590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4273907">
    <w:abstractNumId w:val="22"/>
  </w:num>
  <w:num w:numId="7" w16cid:durableId="1715739971">
    <w:abstractNumId w:val="0"/>
  </w:num>
  <w:num w:numId="8" w16cid:durableId="1808010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572812">
    <w:abstractNumId w:val="30"/>
  </w:num>
  <w:num w:numId="10" w16cid:durableId="1397629135">
    <w:abstractNumId w:val="3"/>
  </w:num>
  <w:num w:numId="11" w16cid:durableId="1313635178">
    <w:abstractNumId w:val="20"/>
  </w:num>
  <w:num w:numId="12" w16cid:durableId="81806348">
    <w:abstractNumId w:val="17"/>
  </w:num>
  <w:num w:numId="13" w16cid:durableId="423767437">
    <w:abstractNumId w:val="11"/>
  </w:num>
  <w:num w:numId="14" w16cid:durableId="1466236999">
    <w:abstractNumId w:val="13"/>
  </w:num>
  <w:num w:numId="15" w16cid:durableId="1074856269">
    <w:abstractNumId w:val="15"/>
  </w:num>
  <w:num w:numId="16" w16cid:durableId="1532839900">
    <w:abstractNumId w:val="29"/>
  </w:num>
  <w:num w:numId="17" w16cid:durableId="883635776">
    <w:abstractNumId w:val="16"/>
  </w:num>
  <w:num w:numId="18" w16cid:durableId="275675434">
    <w:abstractNumId w:val="2"/>
  </w:num>
  <w:num w:numId="19" w16cid:durableId="584346101">
    <w:abstractNumId w:val="9"/>
  </w:num>
  <w:num w:numId="20" w16cid:durableId="960064823">
    <w:abstractNumId w:val="25"/>
  </w:num>
  <w:num w:numId="21" w16cid:durableId="382993176">
    <w:abstractNumId w:val="4"/>
  </w:num>
  <w:num w:numId="22" w16cid:durableId="2072921630">
    <w:abstractNumId w:val="24"/>
  </w:num>
  <w:num w:numId="23" w16cid:durableId="395594048">
    <w:abstractNumId w:val="5"/>
  </w:num>
  <w:num w:numId="24" w16cid:durableId="599802302">
    <w:abstractNumId w:val="27"/>
  </w:num>
  <w:num w:numId="25" w16cid:durableId="300234843">
    <w:abstractNumId w:val="1"/>
  </w:num>
  <w:num w:numId="26" w16cid:durableId="47650274">
    <w:abstractNumId w:val="12"/>
  </w:num>
  <w:num w:numId="27" w16cid:durableId="210964892">
    <w:abstractNumId w:val="7"/>
  </w:num>
  <w:num w:numId="28" w16cid:durableId="1651252547">
    <w:abstractNumId w:val="19"/>
  </w:num>
  <w:num w:numId="29" w16cid:durableId="731927863">
    <w:abstractNumId w:val="10"/>
  </w:num>
  <w:num w:numId="30" w16cid:durableId="552741832">
    <w:abstractNumId w:val="28"/>
  </w:num>
  <w:num w:numId="31" w16cid:durableId="144326535">
    <w:abstractNumId w:val="21"/>
  </w:num>
  <w:num w:numId="32" w16cid:durableId="9473513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97"/>
    <w:rsid w:val="00027580"/>
    <w:rsid w:val="00033988"/>
    <w:rsid w:val="0003550A"/>
    <w:rsid w:val="000443B8"/>
    <w:rsid w:val="00062BF9"/>
    <w:rsid w:val="00083A62"/>
    <w:rsid w:val="00097888"/>
    <w:rsid w:val="000A60F5"/>
    <w:rsid w:val="000A6F30"/>
    <w:rsid w:val="000C2083"/>
    <w:rsid w:val="000C3660"/>
    <w:rsid w:val="000C4691"/>
    <w:rsid w:val="000C7D6D"/>
    <w:rsid w:val="001005AC"/>
    <w:rsid w:val="00105ABA"/>
    <w:rsid w:val="00110F37"/>
    <w:rsid w:val="001176A0"/>
    <w:rsid w:val="0013213C"/>
    <w:rsid w:val="00137234"/>
    <w:rsid w:val="00140CD8"/>
    <w:rsid w:val="00151ECC"/>
    <w:rsid w:val="00157D62"/>
    <w:rsid w:val="00184DD0"/>
    <w:rsid w:val="00185564"/>
    <w:rsid w:val="00191DC2"/>
    <w:rsid w:val="001A3761"/>
    <w:rsid w:val="001B0139"/>
    <w:rsid w:val="001C3A76"/>
    <w:rsid w:val="001E0AED"/>
    <w:rsid w:val="001E531E"/>
    <w:rsid w:val="002024F1"/>
    <w:rsid w:val="002061C7"/>
    <w:rsid w:val="00211699"/>
    <w:rsid w:val="00222BB4"/>
    <w:rsid w:val="0024599C"/>
    <w:rsid w:val="0026697A"/>
    <w:rsid w:val="002818C6"/>
    <w:rsid w:val="00282935"/>
    <w:rsid w:val="002871D7"/>
    <w:rsid w:val="002A1408"/>
    <w:rsid w:val="002A4BCE"/>
    <w:rsid w:val="002D4ADE"/>
    <w:rsid w:val="002E014F"/>
    <w:rsid w:val="002E2784"/>
    <w:rsid w:val="002E3A16"/>
    <w:rsid w:val="00300168"/>
    <w:rsid w:val="00302CBE"/>
    <w:rsid w:val="0032382A"/>
    <w:rsid w:val="0033568F"/>
    <w:rsid w:val="00335DE8"/>
    <w:rsid w:val="00355530"/>
    <w:rsid w:val="00385D39"/>
    <w:rsid w:val="00393343"/>
    <w:rsid w:val="003A5280"/>
    <w:rsid w:val="003B0817"/>
    <w:rsid w:val="003B15D5"/>
    <w:rsid w:val="003B4BC0"/>
    <w:rsid w:val="003D6805"/>
    <w:rsid w:val="003E1E8D"/>
    <w:rsid w:val="003E6E82"/>
    <w:rsid w:val="003F0852"/>
    <w:rsid w:val="00431EAB"/>
    <w:rsid w:val="00437D2A"/>
    <w:rsid w:val="00445EE0"/>
    <w:rsid w:val="00452B53"/>
    <w:rsid w:val="0047726D"/>
    <w:rsid w:val="00484074"/>
    <w:rsid w:val="004A42BD"/>
    <w:rsid w:val="004C2140"/>
    <w:rsid w:val="004C3CE6"/>
    <w:rsid w:val="004C5C02"/>
    <w:rsid w:val="004C63D3"/>
    <w:rsid w:val="004F277B"/>
    <w:rsid w:val="00507876"/>
    <w:rsid w:val="00526B70"/>
    <w:rsid w:val="00535E1A"/>
    <w:rsid w:val="005405E3"/>
    <w:rsid w:val="0054410E"/>
    <w:rsid w:val="00560706"/>
    <w:rsid w:val="005820CA"/>
    <w:rsid w:val="005925B9"/>
    <w:rsid w:val="0059478C"/>
    <w:rsid w:val="00596A4D"/>
    <w:rsid w:val="005A12C0"/>
    <w:rsid w:val="005A5547"/>
    <w:rsid w:val="005B3980"/>
    <w:rsid w:val="005B657A"/>
    <w:rsid w:val="005D408F"/>
    <w:rsid w:val="005D40B1"/>
    <w:rsid w:val="005F3F58"/>
    <w:rsid w:val="00600F57"/>
    <w:rsid w:val="0064254A"/>
    <w:rsid w:val="006437A2"/>
    <w:rsid w:val="00645708"/>
    <w:rsid w:val="006F7FAA"/>
    <w:rsid w:val="00715718"/>
    <w:rsid w:val="00724EF9"/>
    <w:rsid w:val="00736C9B"/>
    <w:rsid w:val="00740BDC"/>
    <w:rsid w:val="00745CA3"/>
    <w:rsid w:val="007465D5"/>
    <w:rsid w:val="0076096A"/>
    <w:rsid w:val="007660CA"/>
    <w:rsid w:val="00775D1B"/>
    <w:rsid w:val="007A5E1D"/>
    <w:rsid w:val="007B5135"/>
    <w:rsid w:val="007C0219"/>
    <w:rsid w:val="007D6A65"/>
    <w:rsid w:val="007E0B9A"/>
    <w:rsid w:val="008144CE"/>
    <w:rsid w:val="00816BDA"/>
    <w:rsid w:val="008219F5"/>
    <w:rsid w:val="00846858"/>
    <w:rsid w:val="008653D8"/>
    <w:rsid w:val="0088386D"/>
    <w:rsid w:val="00885670"/>
    <w:rsid w:val="00894B7C"/>
    <w:rsid w:val="008A2D53"/>
    <w:rsid w:val="008E236D"/>
    <w:rsid w:val="008E3759"/>
    <w:rsid w:val="009034C1"/>
    <w:rsid w:val="00920E9C"/>
    <w:rsid w:val="00936AF2"/>
    <w:rsid w:val="0097137C"/>
    <w:rsid w:val="0097342E"/>
    <w:rsid w:val="00974912"/>
    <w:rsid w:val="009B52BA"/>
    <w:rsid w:val="009C252C"/>
    <w:rsid w:val="009E7CBA"/>
    <w:rsid w:val="009F34EA"/>
    <w:rsid w:val="00A2645B"/>
    <w:rsid w:val="00A3077B"/>
    <w:rsid w:val="00A36EF0"/>
    <w:rsid w:val="00A431DB"/>
    <w:rsid w:val="00A57A65"/>
    <w:rsid w:val="00A57CE4"/>
    <w:rsid w:val="00A80F48"/>
    <w:rsid w:val="00A84193"/>
    <w:rsid w:val="00AA3FB8"/>
    <w:rsid w:val="00AC0342"/>
    <w:rsid w:val="00AD28E7"/>
    <w:rsid w:val="00AF7486"/>
    <w:rsid w:val="00B277E8"/>
    <w:rsid w:val="00B457D7"/>
    <w:rsid w:val="00B80FEA"/>
    <w:rsid w:val="00B84B35"/>
    <w:rsid w:val="00BB63A0"/>
    <w:rsid w:val="00BD67FB"/>
    <w:rsid w:val="00BE77A4"/>
    <w:rsid w:val="00BF1183"/>
    <w:rsid w:val="00C04414"/>
    <w:rsid w:val="00C26963"/>
    <w:rsid w:val="00C55A3B"/>
    <w:rsid w:val="00C61409"/>
    <w:rsid w:val="00C7243A"/>
    <w:rsid w:val="00C8201C"/>
    <w:rsid w:val="00C83FB0"/>
    <w:rsid w:val="00C85797"/>
    <w:rsid w:val="00C93A5A"/>
    <w:rsid w:val="00CB7C2E"/>
    <w:rsid w:val="00CE5A34"/>
    <w:rsid w:val="00CF5A51"/>
    <w:rsid w:val="00CF672B"/>
    <w:rsid w:val="00D02BF6"/>
    <w:rsid w:val="00D07C28"/>
    <w:rsid w:val="00D347D2"/>
    <w:rsid w:val="00D40D07"/>
    <w:rsid w:val="00D55F95"/>
    <w:rsid w:val="00D57822"/>
    <w:rsid w:val="00D63E14"/>
    <w:rsid w:val="00D70C8B"/>
    <w:rsid w:val="00D82FD6"/>
    <w:rsid w:val="00D952AE"/>
    <w:rsid w:val="00DC5D7E"/>
    <w:rsid w:val="00DE0963"/>
    <w:rsid w:val="00DF3A74"/>
    <w:rsid w:val="00E070E5"/>
    <w:rsid w:val="00E12D91"/>
    <w:rsid w:val="00E2155F"/>
    <w:rsid w:val="00E24225"/>
    <w:rsid w:val="00E243E2"/>
    <w:rsid w:val="00E318C4"/>
    <w:rsid w:val="00E33002"/>
    <w:rsid w:val="00E44F9F"/>
    <w:rsid w:val="00E45FD3"/>
    <w:rsid w:val="00E73E3A"/>
    <w:rsid w:val="00E821FC"/>
    <w:rsid w:val="00EB2EFD"/>
    <w:rsid w:val="00ED1373"/>
    <w:rsid w:val="00F06C05"/>
    <w:rsid w:val="00F11704"/>
    <w:rsid w:val="00F14042"/>
    <w:rsid w:val="00F23124"/>
    <w:rsid w:val="00F37F8B"/>
    <w:rsid w:val="00F45AFC"/>
    <w:rsid w:val="00F63483"/>
    <w:rsid w:val="00F73285"/>
    <w:rsid w:val="00F96CCE"/>
    <w:rsid w:val="00FB61CC"/>
    <w:rsid w:val="00FC3D8D"/>
    <w:rsid w:val="00FC6E2F"/>
    <w:rsid w:val="00FD2CB7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26B6"/>
  <w15:docId w15:val="{77906A3A-4013-4EDF-8C4A-F933D825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5797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C85797"/>
    <w:pPr>
      <w:tabs>
        <w:tab w:val="left" w:pos="567"/>
      </w:tabs>
      <w:outlineLvl w:val="2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797"/>
    <w:rPr>
      <w:rFonts w:ascii="Calibri" w:eastAsia="MS Mincho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8579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85797"/>
    <w:rPr>
      <w:rFonts w:ascii="Calibri" w:eastAsia="MS Mincho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797"/>
    <w:rPr>
      <w:rFonts w:ascii="Arial" w:eastAsia="MS Mincho" w:hAnsi="Arial" w:cs="Times New Roman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F7F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6F7FAA"/>
    <w:pPr>
      <w:spacing w:after="160"/>
    </w:pPr>
    <w:rPr>
      <w:rFonts w:asciiTheme="minorHAnsi" w:eastAsiaTheme="minorHAnsi" w:hAnsiTheme="minorHAnsi" w:cstheme="minorBidi"/>
      <w:sz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FAA"/>
    <w:rPr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DC5D7E"/>
    <w:rPr>
      <w:color w:val="0000FF" w:themeColor="hyperlink"/>
      <w:u w:val="single"/>
    </w:rPr>
  </w:style>
  <w:style w:type="paragraph" w:customStyle="1" w:styleId="Titull-Titull">
    <w:name w:val="Titull-Titull"/>
    <w:basedOn w:val="Normal"/>
    <w:qFormat/>
    <w:rsid w:val="00DC5D7E"/>
    <w:pPr>
      <w:widowControl w:val="0"/>
      <w:jc w:val="center"/>
    </w:pPr>
    <w:rPr>
      <w:rFonts w:ascii="Garamond" w:hAnsi="Garamond"/>
      <w:cap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5D7E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DC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C05"/>
    <w:pPr>
      <w:spacing w:after="0"/>
    </w:pPr>
    <w:rPr>
      <w:rFonts w:ascii="Arial" w:eastAsia="MS Mincho" w:hAnsi="Arial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C05"/>
    <w:rPr>
      <w:rFonts w:ascii="Arial" w:eastAsia="MS Mincho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06C05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05"/>
    <w:rPr>
      <w:rFonts w:ascii="Segoe UI" w:eastAsia="MS Mincho" w:hAnsi="Segoe UI" w:cs="Segoe UI"/>
      <w:sz w:val="18"/>
      <w:szCs w:val="18"/>
      <w:lang w:val="en-GB"/>
    </w:rPr>
  </w:style>
  <w:style w:type="paragraph" w:customStyle="1" w:styleId="paragraph">
    <w:name w:val="paragraph"/>
    <w:basedOn w:val="Normal"/>
    <w:rsid w:val="00A57C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57CE4"/>
  </w:style>
  <w:style w:type="character" w:customStyle="1" w:styleId="eop">
    <w:name w:val="eop"/>
    <w:basedOn w:val="DefaultParagraphFont"/>
    <w:rsid w:val="00A57CE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7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1F12-DD80-4D16-8E83-C4D3C588FE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DDGG, PMO</dc:creator>
  <cp:lastModifiedBy>Vojsava Gjoliku</cp:lastModifiedBy>
  <cp:revision>2</cp:revision>
  <dcterms:created xsi:type="dcterms:W3CDTF">2025-01-31T09:58:00Z</dcterms:created>
  <dcterms:modified xsi:type="dcterms:W3CDTF">2025-01-31T09:58:00Z</dcterms:modified>
</cp:coreProperties>
</file>